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0DE74" w14:textId="632CE2FB" w:rsidR="0049069D" w:rsidRPr="00DD4EE9" w:rsidRDefault="00FE1E62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>
        <w:rPr>
          <w:rFonts w:asciiTheme="majorHAnsi" w:hAnsiTheme="majorHAnsi"/>
          <w:b/>
          <w:color w:val="FFFFFF" w:themeColor="background1"/>
          <w:sz w:val="32"/>
          <w:szCs w:val="32"/>
        </w:rPr>
        <w:t>OBCHODNÍ PODMÍNKY – NÁVRH KUPNÍ SMLOUVY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18EE0124" w14:textId="21902364" w:rsidR="007B042A" w:rsidRPr="000E1F6F" w:rsidRDefault="0044068F" w:rsidP="007B042A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>
        <w:rPr>
          <w:rFonts w:asciiTheme="majorHAnsi" w:hAnsiTheme="majorHAnsi"/>
          <w:b/>
          <w:bCs/>
          <w:sz w:val="21"/>
          <w:szCs w:val="21"/>
        </w:rPr>
        <w:t>Základní škola Odry, Komenského 6, příspěvková organizace</w:t>
      </w:r>
    </w:p>
    <w:p w14:paraId="7DAE763A" w14:textId="12444B15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</w:r>
      <w:r w:rsidR="0044068F">
        <w:rPr>
          <w:rFonts w:asciiTheme="majorHAnsi" w:hAnsiTheme="majorHAnsi"/>
          <w:sz w:val="21"/>
          <w:szCs w:val="21"/>
        </w:rPr>
        <w:t>Komenského 609/6</w:t>
      </w:r>
      <w:r w:rsidRPr="000E1F6F">
        <w:rPr>
          <w:rFonts w:asciiTheme="majorHAnsi" w:hAnsiTheme="majorHAnsi"/>
          <w:sz w:val="21"/>
          <w:szCs w:val="21"/>
        </w:rPr>
        <w:t>, 742 35 Odry</w:t>
      </w:r>
    </w:p>
    <w:p w14:paraId="28FA7918" w14:textId="6337F199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zastoupena: </w:t>
      </w:r>
      <w:r w:rsidRPr="000E1F6F">
        <w:rPr>
          <w:rFonts w:asciiTheme="majorHAnsi" w:hAnsiTheme="majorHAnsi"/>
          <w:sz w:val="21"/>
          <w:szCs w:val="21"/>
        </w:rPr>
        <w:tab/>
      </w:r>
      <w:r w:rsidR="0044068F">
        <w:rPr>
          <w:rFonts w:asciiTheme="majorHAnsi" w:hAnsiTheme="majorHAnsi"/>
          <w:sz w:val="21"/>
          <w:szCs w:val="21"/>
        </w:rPr>
        <w:t>Mgr. Radkem Hendrychem</w:t>
      </w:r>
      <w:r w:rsidRPr="000E1F6F">
        <w:rPr>
          <w:rFonts w:asciiTheme="majorHAnsi" w:hAnsiTheme="majorHAnsi"/>
          <w:sz w:val="21"/>
          <w:szCs w:val="21"/>
        </w:rPr>
        <w:t xml:space="preserve">, </w:t>
      </w:r>
      <w:r w:rsidR="0044068F">
        <w:rPr>
          <w:rFonts w:asciiTheme="majorHAnsi" w:hAnsiTheme="majorHAnsi"/>
          <w:sz w:val="21"/>
          <w:szCs w:val="21"/>
        </w:rPr>
        <w:t>ředitelem</w:t>
      </w:r>
    </w:p>
    <w:p w14:paraId="2C046875" w14:textId="444704DC" w:rsidR="007B042A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>IČO:</w:t>
      </w:r>
      <w:r w:rsidRPr="000E1F6F">
        <w:rPr>
          <w:rFonts w:asciiTheme="majorHAnsi" w:hAnsiTheme="majorHAnsi"/>
          <w:sz w:val="21"/>
          <w:szCs w:val="21"/>
        </w:rPr>
        <w:tab/>
      </w:r>
      <w:r w:rsidRPr="000E1F6F">
        <w:rPr>
          <w:rFonts w:asciiTheme="majorHAnsi" w:hAnsiTheme="majorHAnsi"/>
          <w:sz w:val="21"/>
          <w:szCs w:val="21"/>
        </w:rPr>
        <w:tab/>
      </w:r>
      <w:r w:rsidR="00C13D22">
        <w:rPr>
          <w:rFonts w:asciiTheme="majorHAnsi" w:hAnsiTheme="majorHAnsi"/>
          <w:sz w:val="21"/>
          <w:szCs w:val="21"/>
        </w:rPr>
        <w:t>00848191</w:t>
      </w:r>
    </w:p>
    <w:p w14:paraId="40282912" w14:textId="7296E6D0" w:rsidR="007B042A" w:rsidRPr="000E1F6F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F6F">
        <w:rPr>
          <w:rFonts w:ascii="Cambria" w:hAnsi="Cambria"/>
          <w:sz w:val="21"/>
          <w:szCs w:val="21"/>
        </w:rPr>
        <w:t>DIČ:</w:t>
      </w:r>
      <w:r w:rsidRPr="000E1F6F">
        <w:rPr>
          <w:rFonts w:ascii="Cambria" w:hAnsi="Cambria"/>
          <w:sz w:val="21"/>
          <w:szCs w:val="21"/>
        </w:rPr>
        <w:tab/>
      </w:r>
      <w:r w:rsidRPr="000E1F6F">
        <w:rPr>
          <w:rFonts w:ascii="Cambria" w:hAnsi="Cambria"/>
          <w:sz w:val="21"/>
          <w:szCs w:val="21"/>
        </w:rPr>
        <w:tab/>
        <w:t>CZ</w:t>
      </w:r>
      <w:r w:rsidRPr="000E1F6F">
        <w:rPr>
          <w:rFonts w:asciiTheme="majorHAnsi" w:hAnsiTheme="majorHAnsi"/>
          <w:sz w:val="21"/>
          <w:szCs w:val="21"/>
        </w:rPr>
        <w:t>00</w:t>
      </w:r>
      <w:r w:rsidR="00C13D22">
        <w:rPr>
          <w:rFonts w:asciiTheme="majorHAnsi" w:hAnsiTheme="majorHAnsi"/>
          <w:sz w:val="21"/>
          <w:szCs w:val="21"/>
        </w:rPr>
        <w:t>848191</w:t>
      </w:r>
      <w:r w:rsidRPr="000E1F6F">
        <w:rPr>
          <w:rFonts w:ascii="Cambria" w:hAnsi="Cambria"/>
          <w:sz w:val="21"/>
          <w:szCs w:val="21"/>
        </w:rPr>
        <w:t xml:space="preserve"> </w:t>
      </w:r>
    </w:p>
    <w:p w14:paraId="5FBC65D6" w14:textId="39D4C0FD" w:rsidR="007B042A" w:rsidRPr="00025EEF" w:rsidRDefault="007B042A" w:rsidP="007B042A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="00025EEF">
        <w:rPr>
          <w:rFonts w:ascii="Cambria" w:hAnsi="Cambria"/>
          <w:sz w:val="21"/>
          <w:szCs w:val="21"/>
        </w:rPr>
        <w:tab/>
        <w:t>22533801/0100</w:t>
      </w:r>
      <w:r w:rsidRPr="000E179A">
        <w:rPr>
          <w:rFonts w:ascii="Cambria" w:hAnsi="Cambria"/>
          <w:sz w:val="21"/>
          <w:szCs w:val="21"/>
        </w:rPr>
        <w:tab/>
      </w:r>
    </w:p>
    <w:p w14:paraId="599BBBD3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68BE165C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7E0F18B4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0AB6AD0E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339C4E6B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4BED8D11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5ADDB2E0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3AB04860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4C0E8F58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1D3CE0BC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876999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7B042A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7B042A">
        <w:rPr>
          <w:rFonts w:asciiTheme="majorHAnsi" w:hAnsiTheme="majorHAnsi"/>
          <w:sz w:val="21"/>
          <w:szCs w:val="21"/>
        </w:rPr>
        <w:t xml:space="preserve"> </w:t>
      </w:r>
      <w:r w:rsidR="006A1966" w:rsidRPr="007B042A">
        <w:rPr>
          <w:rFonts w:asciiTheme="majorHAnsi" w:hAnsiTheme="majorHAnsi"/>
          <w:sz w:val="21"/>
          <w:szCs w:val="21"/>
        </w:rPr>
        <w:t xml:space="preserve">(dále jen </w:t>
      </w:r>
      <w:r w:rsidR="006A1966" w:rsidRPr="007B042A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7B042A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157AD24C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bookmarkStart w:id="9" w:name="_Hlk510989554"/>
      <w:r w:rsidR="007B042A" w:rsidRPr="007B042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="007B042A" w:rsidRPr="007B042A">
        <w:rPr>
          <w:rFonts w:asciiTheme="majorHAnsi" w:hAnsiTheme="majorHAnsi" w:cs="Arial"/>
          <w:b/>
          <w:sz w:val="21"/>
          <w:szCs w:val="21"/>
        </w:rPr>
        <w:t>„</w:t>
      </w:r>
      <w:r w:rsidR="00025EEF">
        <w:rPr>
          <w:rFonts w:asciiTheme="majorHAnsi" w:hAnsiTheme="majorHAnsi" w:cs="Arial"/>
          <w:bCs/>
          <w:sz w:val="21"/>
          <w:szCs w:val="21"/>
        </w:rPr>
        <w:t>DIGITÁLNÍ UČEBNÍ POMŮCKY A PREVENCE DIGITÁLNÍ PROPASTI NA KOMENDĚ</w:t>
      </w:r>
      <w:r w:rsidR="007B042A" w:rsidRPr="007B042A">
        <w:rPr>
          <w:rFonts w:asciiTheme="majorHAnsi" w:hAnsiTheme="majorHAnsi" w:cs="Arial"/>
          <w:sz w:val="21"/>
          <w:szCs w:val="21"/>
        </w:rPr>
        <w:t>“, tj. dodávka a instalace vybavení odborných učeben ICT technikou</w:t>
      </w:r>
      <w:r w:rsidR="00E13483">
        <w:rPr>
          <w:rFonts w:asciiTheme="majorHAnsi" w:hAnsiTheme="majorHAnsi" w:cs="Arial"/>
          <w:sz w:val="21"/>
          <w:szCs w:val="21"/>
        </w:rPr>
        <w:t xml:space="preserve"> a výukovými pomůckami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. Jedná se zejm. o </w:t>
      </w:r>
      <w:proofErr w:type="spellStart"/>
      <w:r w:rsidR="00E13483">
        <w:rPr>
          <w:rFonts w:asciiTheme="majorHAnsi" w:hAnsiTheme="majorHAnsi" w:cs="Arial"/>
          <w:sz w:val="21"/>
          <w:szCs w:val="21"/>
        </w:rPr>
        <w:t>chromebooky</w:t>
      </w:r>
      <w:proofErr w:type="spellEnd"/>
      <w:r w:rsidR="007B042A" w:rsidRPr="007B042A">
        <w:rPr>
          <w:rFonts w:asciiTheme="majorHAnsi" w:hAnsiTheme="majorHAnsi" w:cs="Arial"/>
          <w:sz w:val="21"/>
          <w:szCs w:val="21"/>
        </w:rPr>
        <w:t xml:space="preserve">, software, </w:t>
      </w:r>
      <w:r w:rsidR="00E13483">
        <w:rPr>
          <w:rFonts w:asciiTheme="majorHAnsi" w:hAnsiTheme="majorHAnsi" w:cs="Arial"/>
          <w:sz w:val="21"/>
          <w:szCs w:val="21"/>
        </w:rPr>
        <w:t>3D skener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, 3D tiskárnu a další vybavení - (dále jen „předmět koupě“). Bližší podrobnosti k předmětu plnění veřejné zakázky </w:t>
      </w:r>
      <w:r w:rsidR="00E13483">
        <w:rPr>
          <w:rFonts w:asciiTheme="majorHAnsi" w:hAnsiTheme="majorHAnsi" w:cs="Arial"/>
          <w:sz w:val="21"/>
          <w:szCs w:val="21"/>
        </w:rPr>
        <w:t xml:space="preserve">a </w:t>
      </w:r>
      <w:r w:rsidR="00E13483" w:rsidRPr="007B042A">
        <w:rPr>
          <w:rFonts w:asciiTheme="majorHAnsi" w:hAnsiTheme="majorHAnsi" w:cs="Arial"/>
          <w:sz w:val="21"/>
          <w:szCs w:val="21"/>
        </w:rPr>
        <w:t xml:space="preserve">rozsah 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jsou popsány v technické specifikaci </w:t>
      </w:r>
      <w:r w:rsidR="007B042A">
        <w:rPr>
          <w:rFonts w:asciiTheme="majorHAnsi" w:hAnsiTheme="majorHAnsi" w:cs="Arial"/>
          <w:sz w:val="21"/>
          <w:szCs w:val="21"/>
        </w:rPr>
        <w:t>a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položkovému</w:t>
      </w:r>
      <w:r w:rsidR="00E13483">
        <w:rPr>
          <w:rFonts w:asciiTheme="majorHAnsi" w:hAnsiTheme="majorHAnsi" w:cs="Arial"/>
          <w:sz w:val="21"/>
          <w:szCs w:val="21"/>
        </w:rPr>
        <w:t xml:space="preserve">, který je nedílnou přílohou </w:t>
      </w:r>
      <w:r w:rsidR="007B042A" w:rsidRPr="007B042A">
        <w:rPr>
          <w:rFonts w:asciiTheme="majorHAnsi" w:hAnsiTheme="majorHAnsi" w:cs="Arial"/>
          <w:sz w:val="21"/>
          <w:szCs w:val="21"/>
        </w:rPr>
        <w:t>této smlouvy.</w:t>
      </w:r>
    </w:p>
    <w:p w14:paraId="34CC4072" w14:textId="0320BF54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7B042A" w:rsidRPr="00150872">
        <w:rPr>
          <w:rFonts w:asciiTheme="majorHAnsi" w:hAnsiTheme="majorHAnsi"/>
          <w:bCs/>
          <w:sz w:val="21"/>
          <w:szCs w:val="21"/>
        </w:rPr>
        <w:t xml:space="preserve">Základní škola Odry, </w:t>
      </w:r>
      <w:r w:rsidR="00E13483">
        <w:rPr>
          <w:rFonts w:asciiTheme="majorHAnsi" w:hAnsiTheme="majorHAnsi"/>
          <w:bCs/>
          <w:sz w:val="21"/>
          <w:szCs w:val="21"/>
        </w:rPr>
        <w:t>Komenského 6</w:t>
      </w:r>
      <w:r w:rsidR="007B042A" w:rsidRPr="00150872">
        <w:rPr>
          <w:rFonts w:asciiTheme="majorHAnsi" w:hAnsiTheme="majorHAnsi"/>
          <w:bCs/>
          <w:sz w:val="21"/>
          <w:szCs w:val="21"/>
        </w:rPr>
        <w:t xml:space="preserve">, příspěvková organizace na adrese: </w:t>
      </w:r>
      <w:r w:rsidR="00E13483">
        <w:rPr>
          <w:rFonts w:asciiTheme="majorHAnsi" w:hAnsiTheme="majorHAnsi"/>
          <w:bCs/>
          <w:sz w:val="21"/>
          <w:szCs w:val="21"/>
        </w:rPr>
        <w:t>Komenského 609/6</w:t>
      </w:r>
      <w:r w:rsidR="007B042A" w:rsidRPr="00150872">
        <w:rPr>
          <w:rFonts w:asciiTheme="majorHAnsi" w:hAnsiTheme="majorHAnsi"/>
          <w:bCs/>
          <w:sz w:val="21"/>
          <w:szCs w:val="21"/>
        </w:rPr>
        <w:t>, 74235 Odry.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A8B533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</w:t>
      </w:r>
      <w:r w:rsidRPr="00C9780D">
        <w:rPr>
          <w:rFonts w:asciiTheme="majorHAnsi" w:hAnsiTheme="majorHAnsi"/>
          <w:sz w:val="21"/>
          <w:szCs w:val="21"/>
        </w:rPr>
        <w:t xml:space="preserve">převést na kupujícího vlastnické právo k tomuto předmětu koupě. </w:t>
      </w:r>
      <w:r w:rsidR="00B109E1" w:rsidRPr="00C9780D">
        <w:rPr>
          <w:rFonts w:asciiTheme="majorHAnsi" w:hAnsiTheme="majorHAnsi"/>
          <w:sz w:val="21"/>
          <w:szCs w:val="21"/>
        </w:rPr>
        <w:t xml:space="preserve">U software se jedná o nabytí práva k jeho užití. </w:t>
      </w:r>
      <w:r w:rsidRPr="00C9780D">
        <w:rPr>
          <w:rFonts w:asciiTheme="majorHAnsi" w:hAnsiTheme="majorHAnsi"/>
          <w:sz w:val="21"/>
          <w:szCs w:val="21"/>
        </w:rPr>
        <w:t xml:space="preserve">Kupující se zavazuje zaplatit prodávajícímu za dodávku </w:t>
      </w:r>
      <w:r w:rsidR="000F22B0" w:rsidRPr="00C9780D">
        <w:rPr>
          <w:rFonts w:asciiTheme="majorHAnsi" w:hAnsiTheme="majorHAnsi"/>
          <w:sz w:val="21"/>
          <w:szCs w:val="21"/>
        </w:rPr>
        <w:t xml:space="preserve">předmětu </w:t>
      </w:r>
      <w:r w:rsidRPr="00C9780D">
        <w:rPr>
          <w:rFonts w:asciiTheme="majorHAnsi" w:hAnsiTheme="majorHAnsi"/>
          <w:sz w:val="21"/>
          <w:szCs w:val="21"/>
        </w:rPr>
        <w:t>koupě a jeho</w:t>
      </w:r>
      <w:r w:rsidRPr="00DF3772">
        <w:rPr>
          <w:rFonts w:asciiTheme="majorHAnsi" w:hAnsiTheme="majorHAnsi"/>
          <w:sz w:val="21"/>
          <w:szCs w:val="21"/>
        </w:rPr>
        <w:t xml:space="preserve">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bez vad a nedodělků kupní cenu, a to na základě předávacího protokolu a soupisu dodávek.</w:t>
      </w:r>
    </w:p>
    <w:p w14:paraId="62D8A37B" w14:textId="4732BA5A" w:rsidR="007B042A" w:rsidRPr="00BF080D" w:rsidRDefault="009B6601" w:rsidP="00BF080D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BF080D">
        <w:rPr>
          <w:rFonts w:asciiTheme="majorHAnsi" w:hAnsiTheme="majorHAnsi"/>
          <w:sz w:val="21"/>
          <w:szCs w:val="21"/>
        </w:rPr>
        <w:t>P</w:t>
      </w:r>
      <w:r w:rsidR="00BF080D" w:rsidRPr="00BF080D">
        <w:rPr>
          <w:rFonts w:asciiTheme="majorHAnsi" w:hAnsiTheme="majorHAnsi"/>
          <w:sz w:val="21"/>
          <w:szCs w:val="21"/>
        </w:rPr>
        <w:t xml:space="preserve">ředmět plnění </w:t>
      </w:r>
      <w:r w:rsidR="007B042A" w:rsidRPr="00BF080D">
        <w:rPr>
          <w:rFonts w:asciiTheme="majorHAnsi" w:hAnsiTheme="majorHAnsi"/>
          <w:sz w:val="21"/>
          <w:szCs w:val="21"/>
        </w:rPr>
        <w:t>je spolufinancován</w:t>
      </w:r>
      <w:r w:rsidR="00BF080D" w:rsidRPr="00BF080D">
        <w:rPr>
          <w:rFonts w:asciiTheme="majorHAnsi" w:hAnsiTheme="majorHAnsi"/>
          <w:sz w:val="21"/>
          <w:szCs w:val="21"/>
        </w:rPr>
        <w:t xml:space="preserve"> v rámci projektů</w:t>
      </w:r>
      <w:r w:rsidR="007B042A" w:rsidRPr="00BF080D">
        <w:rPr>
          <w:rFonts w:asciiTheme="majorHAnsi" w:hAnsiTheme="majorHAnsi"/>
          <w:sz w:val="21"/>
          <w:szCs w:val="21"/>
        </w:rPr>
        <w:t xml:space="preserve"> </w:t>
      </w:r>
      <w:r w:rsidR="00BF080D" w:rsidRPr="00BF080D">
        <w:rPr>
          <w:rFonts w:asciiTheme="majorHAnsi" w:hAnsiTheme="majorHAnsi"/>
          <w:sz w:val="21"/>
          <w:szCs w:val="21"/>
        </w:rPr>
        <w:t>„Prevence digitální propasti“ spolufinancovaného z Národního plánu obnovy  a projektu „Nástroje pro oživení a odolnost</w:t>
      </w:r>
      <w:r w:rsidR="001659FA">
        <w:rPr>
          <w:rFonts w:asciiTheme="majorHAnsi" w:hAnsiTheme="majorHAnsi"/>
          <w:sz w:val="21"/>
          <w:szCs w:val="21"/>
        </w:rPr>
        <w:t>“</w:t>
      </w:r>
      <w:r w:rsidR="00BF080D" w:rsidRPr="00BF080D">
        <w:rPr>
          <w:rFonts w:asciiTheme="majorHAnsi" w:hAnsiTheme="majorHAnsi"/>
          <w:sz w:val="21"/>
          <w:szCs w:val="21"/>
        </w:rPr>
        <w:t xml:space="preserve">, spolufinancovaného v rámci Národního plánu obnovy – základní školy a gymnázia. Finančním zdrojem jsou prostředky fondu Evropské unie – </w:t>
      </w:r>
      <w:proofErr w:type="spellStart"/>
      <w:r w:rsidR="00BF080D" w:rsidRPr="00BF080D">
        <w:rPr>
          <w:rFonts w:asciiTheme="majorHAnsi" w:hAnsiTheme="majorHAnsi"/>
          <w:sz w:val="21"/>
          <w:szCs w:val="21"/>
        </w:rPr>
        <w:t>Next</w:t>
      </w:r>
      <w:proofErr w:type="spellEnd"/>
      <w:r w:rsidR="00BF080D" w:rsidRPr="00BF080D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="00BF080D" w:rsidRPr="00BF080D">
        <w:rPr>
          <w:rFonts w:asciiTheme="majorHAnsi" w:hAnsiTheme="majorHAnsi"/>
          <w:sz w:val="21"/>
          <w:szCs w:val="21"/>
        </w:rPr>
        <w:t>Generation</w:t>
      </w:r>
      <w:proofErr w:type="spellEnd"/>
      <w:r w:rsidR="00BF080D" w:rsidRPr="00BF080D">
        <w:rPr>
          <w:rFonts w:asciiTheme="majorHAnsi" w:hAnsiTheme="majorHAnsi"/>
          <w:sz w:val="21"/>
          <w:szCs w:val="21"/>
        </w:rPr>
        <w:t xml:space="preserve"> EU</w:t>
      </w:r>
      <w:r w:rsidR="007B042A" w:rsidRPr="00BF080D">
        <w:rPr>
          <w:rFonts w:asciiTheme="majorHAnsi" w:hAnsiTheme="majorHAnsi"/>
          <w:sz w:val="21"/>
          <w:szCs w:val="21"/>
        </w:rPr>
        <w:t>.</w:t>
      </w:r>
    </w:p>
    <w:p w14:paraId="26395DDF" w14:textId="11B92A77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05DF8F7B" w:rsidR="00D2353A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</w:t>
      </w:r>
      <w:r w:rsidR="00151B46">
        <w:rPr>
          <w:rFonts w:asciiTheme="majorHAnsi" w:hAnsiTheme="majorHAnsi" w:cs="Arial"/>
          <w:sz w:val="21"/>
          <w:szCs w:val="21"/>
        </w:rPr>
        <w:t>instalace</w:t>
      </w:r>
      <w:r w:rsidRPr="008A2BC6">
        <w:rPr>
          <w:rFonts w:asciiTheme="majorHAnsi" w:hAnsiTheme="majorHAnsi" w:cs="Arial"/>
          <w:sz w:val="21"/>
          <w:szCs w:val="21"/>
        </w:rPr>
        <w:t xml:space="preserve"> </w:t>
      </w:r>
      <w:r w:rsidR="00F60049">
        <w:rPr>
          <w:rFonts w:asciiTheme="majorHAnsi" w:hAnsiTheme="majorHAnsi" w:cs="Arial"/>
          <w:sz w:val="21"/>
          <w:szCs w:val="21"/>
        </w:rPr>
        <w:t xml:space="preserve">celkového </w:t>
      </w:r>
      <w:r w:rsidRPr="008A2BC6">
        <w:rPr>
          <w:rFonts w:asciiTheme="majorHAnsi" w:hAnsiTheme="majorHAnsi" w:cs="Arial"/>
          <w:sz w:val="21"/>
          <w:szCs w:val="21"/>
        </w:rPr>
        <w:t xml:space="preserve">předmětu koupě dle čl. I. této smlouvy činí: </w:t>
      </w:r>
    </w:p>
    <w:p w14:paraId="6C900D84" w14:textId="77777777" w:rsidR="00066423" w:rsidRPr="00066423" w:rsidRDefault="00066423" w:rsidP="00066423"/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6FD0B4AC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AB4A5E5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74535AC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5C96D8B7" w14:textId="77777777" w:rsidR="00F60049" w:rsidRDefault="00F60049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17412E64" w14:textId="3D42017E" w:rsidR="00DF0F5E" w:rsidRDefault="001659FA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Tato ce</w:t>
      </w:r>
      <w:r w:rsidR="00F60049">
        <w:rPr>
          <w:rFonts w:asciiTheme="majorHAnsi" w:hAnsiTheme="majorHAnsi" w:cs="Arial"/>
          <w:sz w:val="21"/>
          <w:szCs w:val="21"/>
        </w:rPr>
        <w:t>na je dále členěna dle projektů takto:</w:t>
      </w:r>
    </w:p>
    <w:p w14:paraId="4103296E" w14:textId="5D805574" w:rsidR="00F60049" w:rsidRDefault="00F60049" w:rsidP="00DF0F5E">
      <w:pPr>
        <w:spacing w:after="80" w:line="240" w:lineRule="atLeast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A) </w:t>
      </w:r>
      <w:proofErr w:type="gramStart"/>
      <w:r>
        <w:rPr>
          <w:rFonts w:asciiTheme="majorHAnsi" w:hAnsiTheme="majorHAnsi" w:cs="Arial"/>
          <w:sz w:val="21"/>
          <w:szCs w:val="21"/>
        </w:rPr>
        <w:t>projekt:</w:t>
      </w:r>
      <w:r>
        <w:rPr>
          <w:rFonts w:asciiTheme="majorHAnsi" w:hAnsiTheme="majorHAnsi"/>
          <w:sz w:val="21"/>
          <w:szCs w:val="21"/>
        </w:rPr>
        <w:t>:</w:t>
      </w:r>
      <w:proofErr w:type="gramEnd"/>
      <w:r w:rsidR="00E86313" w:rsidRPr="00E86313">
        <w:rPr>
          <w:rFonts w:asciiTheme="majorHAnsi" w:hAnsiTheme="majorHAnsi"/>
          <w:sz w:val="21"/>
          <w:szCs w:val="21"/>
        </w:rPr>
        <w:t xml:space="preserve"> </w:t>
      </w:r>
      <w:r w:rsidR="00E86313" w:rsidRPr="00BF080D">
        <w:rPr>
          <w:rFonts w:asciiTheme="majorHAnsi" w:hAnsiTheme="majorHAnsi"/>
          <w:sz w:val="21"/>
          <w:szCs w:val="21"/>
        </w:rPr>
        <w:t>Nástroje pro oživení a odolnost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60049" w:rsidRPr="00DF3772" w14:paraId="65A1A9F6" w14:textId="77777777" w:rsidTr="000C420D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3FEF226D" w14:textId="77777777" w:rsidR="00F60049" w:rsidRPr="00DF3772" w:rsidRDefault="00F60049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5408834B" w14:textId="77777777" w:rsidR="00F60049" w:rsidRPr="00D46999" w:rsidRDefault="00F60049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Kč</w:t>
            </w:r>
          </w:p>
        </w:tc>
      </w:tr>
      <w:tr w:rsidR="00F60049" w:rsidRPr="00DF3772" w14:paraId="711396E0" w14:textId="77777777" w:rsidTr="000C420D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06023AC8" w14:textId="77777777" w:rsidR="00F60049" w:rsidRPr="00DF3772" w:rsidRDefault="00F60049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1E95BA2A" w14:textId="77777777" w:rsidR="00F60049" w:rsidRPr="00D46999" w:rsidRDefault="00F60049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r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60049" w:rsidRPr="00DF3772" w14:paraId="7E079FE5" w14:textId="77777777" w:rsidTr="000C420D">
        <w:trPr>
          <w:trHeight w:val="263"/>
        </w:trPr>
        <w:tc>
          <w:tcPr>
            <w:tcW w:w="4411" w:type="dxa"/>
            <w:shd w:val="clear" w:color="auto" w:fill="E6E6E6"/>
          </w:tcPr>
          <w:p w14:paraId="1790035E" w14:textId="77777777" w:rsidR="00F60049" w:rsidRPr="00DF3772" w:rsidRDefault="00F60049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0ADDE785" w14:textId="77777777" w:rsidR="00F60049" w:rsidRPr="00D46999" w:rsidRDefault="00F60049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73314F09" w14:textId="77777777" w:rsidR="00F60049" w:rsidRDefault="00F60049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  <w:bookmarkStart w:id="13" w:name="_GoBack"/>
      <w:bookmarkEnd w:id="13"/>
    </w:p>
    <w:p w14:paraId="3C5A4B4F" w14:textId="288482F1" w:rsidR="00F60049" w:rsidRDefault="00F60049" w:rsidP="00DF0F5E">
      <w:pPr>
        <w:spacing w:after="80" w:line="240" w:lineRule="atLeast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B) projekt: </w:t>
      </w:r>
      <w:r w:rsidR="00E86313" w:rsidRPr="00BF080D">
        <w:rPr>
          <w:rFonts w:asciiTheme="majorHAnsi" w:hAnsiTheme="majorHAnsi"/>
          <w:sz w:val="21"/>
          <w:szCs w:val="21"/>
        </w:rPr>
        <w:t>Prevence digitální propasti</w:t>
      </w:r>
      <w:r>
        <w:rPr>
          <w:rFonts w:asciiTheme="majorHAnsi" w:hAnsiTheme="majorHAnsi"/>
          <w:sz w:val="21"/>
          <w:szCs w:val="21"/>
        </w:rPr>
        <w:t>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B9207A" w:rsidRPr="00DF3772" w14:paraId="2CD6761D" w14:textId="77777777" w:rsidTr="000C420D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15695A7" w14:textId="77777777" w:rsidR="00B9207A" w:rsidRPr="00DF3772" w:rsidRDefault="00B9207A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21B80CF9" w14:textId="77777777" w:rsidR="00B9207A" w:rsidRPr="00D46999" w:rsidRDefault="00B9207A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Kč</w:t>
            </w:r>
          </w:p>
        </w:tc>
      </w:tr>
      <w:tr w:rsidR="00B9207A" w:rsidRPr="00DF3772" w14:paraId="47898F49" w14:textId="77777777" w:rsidTr="000C420D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3A7DFF37" w14:textId="77777777" w:rsidR="00B9207A" w:rsidRPr="00DF3772" w:rsidRDefault="00B9207A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0EB4C22A" w14:textId="77777777" w:rsidR="00B9207A" w:rsidRPr="00D46999" w:rsidRDefault="00B9207A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r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B9207A" w:rsidRPr="00DF3772" w14:paraId="55DDC44E" w14:textId="77777777" w:rsidTr="000C420D">
        <w:trPr>
          <w:trHeight w:val="263"/>
        </w:trPr>
        <w:tc>
          <w:tcPr>
            <w:tcW w:w="4411" w:type="dxa"/>
            <w:shd w:val="clear" w:color="auto" w:fill="E6E6E6"/>
          </w:tcPr>
          <w:p w14:paraId="034ACF0C" w14:textId="77777777" w:rsidR="00B9207A" w:rsidRPr="00DF3772" w:rsidRDefault="00B9207A" w:rsidP="000C420D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F5A592" w14:textId="77777777" w:rsidR="00B9207A" w:rsidRPr="00D46999" w:rsidRDefault="00B9207A" w:rsidP="000C420D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61299814" w14:textId="77777777" w:rsidR="00F60049" w:rsidRPr="00DF3772" w:rsidRDefault="00F60049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2EB5F26D" w:rsidR="004C7081" w:rsidRPr="00DF3772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2. </w:t>
      </w:r>
      <w:r>
        <w:rPr>
          <w:rFonts w:asciiTheme="majorHAnsi" w:hAnsiTheme="majorHAnsi"/>
          <w:sz w:val="21"/>
          <w:szCs w:val="21"/>
        </w:rPr>
        <w:tab/>
      </w:r>
      <w:r w:rsidR="00516D39"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="00516D39"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152C750C" w:rsidR="00F8424B" w:rsidRPr="00066423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3. </w:t>
      </w:r>
      <w:r w:rsidR="00F8424B"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="00F8424B" w:rsidRPr="00ED4E0C">
        <w:rPr>
          <w:rFonts w:asciiTheme="majorHAnsi" w:hAnsiTheme="majorHAnsi"/>
          <w:sz w:val="21"/>
          <w:szCs w:val="21"/>
        </w:rPr>
        <w:t xml:space="preserve"> předmětu koupě. </w:t>
      </w:r>
    </w:p>
    <w:p w14:paraId="0187483E" w14:textId="4469F828" w:rsidR="00D2353A" w:rsidRPr="00ED4E0C" w:rsidRDefault="000F2640" w:rsidP="000F2640">
      <w:pPr>
        <w:pStyle w:val="Zkladntext3"/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4. </w:t>
      </w:r>
      <w:r w:rsidR="00D2353A" w:rsidRPr="00066423">
        <w:rPr>
          <w:rFonts w:asciiTheme="majorHAnsi" w:hAnsiTheme="majorHAnsi"/>
          <w:sz w:val="21"/>
          <w:szCs w:val="21"/>
        </w:rPr>
        <w:t>DPH bude účtováno podle zákona č.235/2004 Sb., o dani z přidané hodnoty, ve znění platném ke dni</w:t>
      </w:r>
      <w:r w:rsidR="00D2353A" w:rsidRPr="00ED4E0C">
        <w:rPr>
          <w:rFonts w:asciiTheme="majorHAnsi" w:hAnsiTheme="majorHAnsi"/>
          <w:bCs/>
          <w:sz w:val="21"/>
          <w:szCs w:val="21"/>
        </w:rPr>
        <w:t xml:space="preserve"> uskutečnění zdanitelného plnění podle této smlouvy.</w:t>
      </w:r>
      <w:r w:rsidR="00D2353A"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33290AEA" w14:textId="3D33D91A" w:rsidR="0058526D" w:rsidRPr="00D0313C" w:rsidRDefault="0058526D" w:rsidP="0058526D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0313C">
        <w:rPr>
          <w:rFonts w:asciiTheme="majorHAnsi" w:hAnsiTheme="majorHAnsi"/>
          <w:sz w:val="21"/>
          <w:szCs w:val="21"/>
        </w:rPr>
        <w:t xml:space="preserve">Prodávající je povinen dodat kupujícímu předmět koupě dle čl. I. bodu 1. smlouvy a provést jeho montáž bez vad a nedodělků. </w:t>
      </w:r>
    </w:p>
    <w:p w14:paraId="35B2E8AC" w14:textId="554D3E07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D0313C">
        <w:rPr>
          <w:rFonts w:asciiTheme="majorHAnsi" w:hAnsiTheme="majorHAnsi"/>
          <w:b/>
          <w:bCs/>
          <w:noProof/>
          <w:sz w:val="21"/>
          <w:szCs w:val="21"/>
        </w:rPr>
        <w:t>45</w:t>
      </w:r>
      <w:r w:rsidR="00DB7BB4">
        <w:rPr>
          <w:rFonts w:asciiTheme="majorHAnsi" w:hAnsiTheme="majorHAnsi"/>
          <w:b/>
          <w:bCs/>
          <w:noProof/>
          <w:sz w:val="21"/>
          <w:szCs w:val="21"/>
        </w:rPr>
        <w:t xml:space="preserve"> 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</w:t>
      </w:r>
      <w:r w:rsidR="00D0313C">
        <w:rPr>
          <w:rFonts w:asciiTheme="majorHAnsi" w:hAnsiTheme="majorHAnsi"/>
          <w:bCs/>
          <w:noProof/>
          <w:sz w:val="21"/>
          <w:szCs w:val="21"/>
        </w:rPr>
        <w:t>podpisu smlouvy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723444BA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826054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</w:t>
      </w:r>
      <w:r w:rsidRPr="00571B57">
        <w:rPr>
          <w:rFonts w:asciiTheme="majorHAnsi" w:hAnsiTheme="majorHAnsi" w:cs="Arial"/>
          <w:sz w:val="21"/>
          <w:szCs w:val="21"/>
        </w:rPr>
        <w:lastRenderedPageBreak/>
        <w:t xml:space="preserve">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5D5B0D6A" w:rsidR="00A60941" w:rsidRPr="00E02864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4452F5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</w:t>
      </w:r>
      <w:r w:rsidR="00C103DF">
        <w:rPr>
          <w:rFonts w:asciiTheme="majorHAnsi" w:hAnsiTheme="majorHAnsi"/>
          <w:sz w:val="21"/>
          <w:szCs w:val="21"/>
        </w:rPr>
        <w:t>dělků kupujícímu se splatností 14</w:t>
      </w:r>
      <w:r w:rsidRPr="00E02864">
        <w:rPr>
          <w:rFonts w:asciiTheme="majorHAnsi" w:hAnsiTheme="majorHAnsi"/>
          <w:sz w:val="21"/>
          <w:szCs w:val="21"/>
        </w:rPr>
        <w:t xml:space="preserve">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12A8F1C2" w14:textId="0D160A07" w:rsidR="008F7FBC" w:rsidRPr="00DB3ECE" w:rsidRDefault="00F47EE8" w:rsidP="00F47EE8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Z</w:t>
      </w:r>
      <w:r w:rsidR="008F7FBC" w:rsidRPr="00F47EE8">
        <w:rPr>
          <w:rFonts w:asciiTheme="majorHAnsi" w:hAnsiTheme="majorHAnsi" w:cs="Arial"/>
          <w:sz w:val="21"/>
          <w:szCs w:val="21"/>
        </w:rPr>
        <w:t>a každou část plnění, definovanou dotačním projektem</w:t>
      </w:r>
      <w:r>
        <w:rPr>
          <w:rFonts w:asciiTheme="majorHAnsi" w:hAnsiTheme="majorHAnsi" w:cs="Arial"/>
          <w:sz w:val="21"/>
          <w:szCs w:val="21"/>
        </w:rPr>
        <w:t xml:space="preserve">, bude </w:t>
      </w:r>
      <w:r w:rsidRPr="00F47EE8">
        <w:rPr>
          <w:rFonts w:asciiTheme="majorHAnsi" w:hAnsiTheme="majorHAnsi" w:cs="Arial"/>
          <w:sz w:val="21"/>
          <w:szCs w:val="21"/>
        </w:rPr>
        <w:t>vystav</w:t>
      </w:r>
      <w:r>
        <w:rPr>
          <w:rFonts w:asciiTheme="majorHAnsi" w:hAnsiTheme="majorHAnsi" w:cs="Arial"/>
          <w:sz w:val="21"/>
          <w:szCs w:val="21"/>
        </w:rPr>
        <w:t xml:space="preserve">ena samostatná </w:t>
      </w:r>
      <w:r w:rsidRPr="00F47EE8">
        <w:rPr>
          <w:rFonts w:asciiTheme="majorHAnsi" w:hAnsiTheme="majorHAnsi" w:cs="Arial"/>
          <w:sz w:val="21"/>
          <w:szCs w:val="21"/>
        </w:rPr>
        <w:t>faktur</w:t>
      </w:r>
      <w:r>
        <w:rPr>
          <w:rFonts w:asciiTheme="majorHAnsi" w:hAnsiTheme="majorHAnsi" w:cs="Arial"/>
          <w:sz w:val="21"/>
          <w:szCs w:val="21"/>
        </w:rPr>
        <w:t>a</w:t>
      </w:r>
      <w:r w:rsidR="008F7FBC" w:rsidRPr="00F47EE8">
        <w:rPr>
          <w:rFonts w:asciiTheme="majorHAnsi" w:hAnsiTheme="majorHAnsi" w:cs="Arial"/>
          <w:sz w:val="21"/>
          <w:szCs w:val="21"/>
        </w:rPr>
        <w:t xml:space="preserve">, tj. po ukončení </w:t>
      </w:r>
      <w:r w:rsidR="008F7FBC" w:rsidRPr="00DB3ECE">
        <w:rPr>
          <w:rFonts w:asciiTheme="majorHAnsi" w:hAnsiTheme="majorHAnsi" w:cs="Arial"/>
          <w:sz w:val="21"/>
          <w:szCs w:val="21"/>
        </w:rPr>
        <w:t>plnění budou vystaveny 2 faktury.</w:t>
      </w:r>
    </w:p>
    <w:p w14:paraId="78A0CA30" w14:textId="7D5F7153" w:rsidR="00A60941" w:rsidRPr="004452F5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r w:rsidRPr="004452F5">
        <w:rPr>
          <w:rFonts w:asciiTheme="majorHAnsi" w:hAnsiTheme="majorHAnsi" w:cs="Arial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4452F5">
        <w:rPr>
          <w:rFonts w:asciiTheme="majorHAnsi" w:hAnsiTheme="majorHAnsi" w:cs="Arial"/>
          <w:sz w:val="21"/>
          <w:szCs w:val="21"/>
        </w:rPr>
        <w:t xml:space="preserve">. </w:t>
      </w:r>
      <w:r w:rsidRPr="004452F5">
        <w:rPr>
          <w:rFonts w:asciiTheme="majorHAnsi" w:hAnsiTheme="majorHAnsi" w:cs="Arial"/>
          <w:sz w:val="21"/>
          <w:szCs w:val="21"/>
        </w:rPr>
        <w:t>F</w:t>
      </w:r>
      <w:r w:rsidRPr="004452F5">
        <w:rPr>
          <w:rFonts w:asciiTheme="majorHAnsi" w:hAnsiTheme="majorHAnsi"/>
          <w:noProof/>
          <w:sz w:val="21"/>
          <w:szCs w:val="21"/>
        </w:rPr>
        <w:t xml:space="preserve">aktura musí  dále obsahovat přesný název a registrační číslo projektu. </w:t>
      </w:r>
    </w:p>
    <w:p w14:paraId="4B798C99" w14:textId="77777777" w:rsidR="00A60941" w:rsidRPr="00E02864" w:rsidRDefault="00A60941" w:rsidP="00FE1C96">
      <w:pPr>
        <w:pStyle w:val="Zkladntext3"/>
        <w:numPr>
          <w:ilvl w:val="0"/>
          <w:numId w:val="44"/>
        </w:numPr>
        <w:ind w:left="284"/>
        <w:jc w:val="both"/>
        <w:rPr>
          <w:rFonts w:asciiTheme="majorHAnsi" w:hAnsiTheme="majorHAnsi"/>
          <w:sz w:val="21"/>
          <w:szCs w:val="21"/>
        </w:rPr>
      </w:pPr>
      <w:proofErr w:type="gramStart"/>
      <w:r w:rsidRPr="00E02864">
        <w:rPr>
          <w:rFonts w:asciiTheme="majorHAnsi" w:hAnsiTheme="majorHAnsi"/>
          <w:sz w:val="21"/>
          <w:szCs w:val="21"/>
        </w:rPr>
        <w:t>Nebude–</w:t>
      </w:r>
      <w:proofErr w:type="spellStart"/>
      <w:r w:rsidRPr="00E02864">
        <w:rPr>
          <w:rFonts w:asciiTheme="majorHAnsi" w:hAnsiTheme="majorHAnsi"/>
          <w:sz w:val="21"/>
          <w:szCs w:val="21"/>
        </w:rPr>
        <w:t>li</w:t>
      </w:r>
      <w:proofErr w:type="spellEnd"/>
      <w:proofErr w:type="gramEnd"/>
      <w:r w:rsidRPr="00E02864">
        <w:rPr>
          <w:rFonts w:asciiTheme="majorHAnsi" w:hAnsiTheme="majorHAnsi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6B449DC1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AD5B27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AD5B27">
        <w:rPr>
          <w:rFonts w:asciiTheme="majorHAnsi" w:hAnsiTheme="majorHAnsi"/>
          <w:sz w:val="21"/>
          <w:szCs w:val="21"/>
        </w:rPr>
        <w:t xml:space="preserve">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4A9B48BE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Kupující má právo požadovat smluvní pokutu při nedodržení termínu dodávky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02864">
        <w:rPr>
          <w:rFonts w:asciiTheme="majorHAnsi" w:hAnsiTheme="majorHAnsi"/>
          <w:sz w:val="21"/>
          <w:szCs w:val="21"/>
        </w:rPr>
        <w:t xml:space="preserve"> dle čl</w:t>
      </w:r>
      <w:r w:rsidR="00377663">
        <w:rPr>
          <w:rFonts w:asciiTheme="majorHAnsi" w:hAnsiTheme="majorHAnsi"/>
          <w:sz w:val="21"/>
          <w:szCs w:val="21"/>
        </w:rPr>
        <w:t>.  III.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>l.  V.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21-ti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C8A8EB0" w14:textId="77777777" w:rsidR="004452F5" w:rsidRDefault="004452F5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lastRenderedPageBreak/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585C2CE0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</w:t>
      </w:r>
      <w:r w:rsidR="00AD5B27">
        <w:rPr>
          <w:rFonts w:asciiTheme="majorHAnsi" w:hAnsiTheme="majorHAnsi" w:cs="Arial"/>
          <w:sz w:val="21"/>
          <w:szCs w:val="21"/>
        </w:rPr>
        <w:t>výběrovéh</w:t>
      </w:r>
      <w:r w:rsidRPr="00E02864">
        <w:rPr>
          <w:rFonts w:asciiTheme="majorHAnsi" w:hAnsiTheme="majorHAnsi" w:cs="Arial"/>
          <w:sz w:val="21"/>
          <w:szCs w:val="21"/>
        </w:rPr>
        <w:t xml:space="preserve">o řízení uvedl v nabídce veškeré informace a předložil doklady, které odpovídají skutečnosti a měly nebo mohly mít vliv na výsledek </w:t>
      </w:r>
      <w:r w:rsidR="00AD5B27">
        <w:rPr>
          <w:rFonts w:asciiTheme="majorHAnsi" w:hAnsiTheme="majorHAnsi" w:cs="Arial"/>
          <w:sz w:val="21"/>
          <w:szCs w:val="21"/>
        </w:rPr>
        <w:t>výběrové</w:t>
      </w:r>
      <w:r w:rsidRPr="00E02864">
        <w:rPr>
          <w:rFonts w:asciiTheme="majorHAnsi" w:hAnsiTheme="majorHAnsi" w:cs="Arial"/>
          <w:sz w:val="21"/>
          <w:szCs w:val="21"/>
        </w:rPr>
        <w:t xml:space="preserve">ho řízení. Porušení této povinnosti je považováno za podstatné porušení této smlouvy a kupující může od této smlouvy odstoupit. </w:t>
      </w:r>
    </w:p>
    <w:p w14:paraId="0F2DE4FA" w14:textId="50FB2E46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AD5B27">
        <w:rPr>
          <w:rFonts w:asciiTheme="majorHAnsi" w:hAnsiTheme="majorHAnsi"/>
          <w:noProof/>
          <w:sz w:val="21"/>
          <w:szCs w:val="21"/>
        </w:rPr>
        <w:t>2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do konce roku 20</w:t>
      </w:r>
      <w:r w:rsidR="00CF2BC9" w:rsidRPr="003D3AF8">
        <w:rPr>
          <w:rFonts w:asciiTheme="majorHAnsi" w:hAnsiTheme="majorHAnsi" w:cs="Arial"/>
          <w:color w:val="000000" w:themeColor="text1"/>
          <w:sz w:val="21"/>
          <w:szCs w:val="21"/>
        </w:rPr>
        <w:t>3</w:t>
      </w:r>
      <w:r w:rsidR="00AD5B27">
        <w:rPr>
          <w:rFonts w:asciiTheme="majorHAnsi" w:hAnsiTheme="majorHAnsi" w:cs="Arial"/>
          <w:color w:val="000000" w:themeColor="text1"/>
          <w:sz w:val="21"/>
          <w:szCs w:val="21"/>
        </w:rPr>
        <w:t>2</w:t>
      </w: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BC592A9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Strany smlouvy se dohodly na tom, že </w:t>
      </w:r>
      <w:r w:rsidR="00F4665B" w:rsidRPr="003D3AF8">
        <w:rPr>
          <w:rFonts w:asciiTheme="majorHAnsi" w:hAnsiTheme="majorHAnsi" w:cs="Arial"/>
          <w:color w:val="000000" w:themeColor="text1"/>
          <w:sz w:val="21"/>
          <w:szCs w:val="21"/>
        </w:rPr>
        <w:t>platnosti nabude smlouva dnem podpisu a účinnosti nabude smlouva dnem zveřejnění smlouvy v registru smluv</w:t>
      </w:r>
      <w:r w:rsidR="004C2AAE" w:rsidRPr="003D3AF8">
        <w:rPr>
          <w:rFonts w:asciiTheme="majorHAnsi" w:hAnsiTheme="majorHAnsi" w:cs="Arial"/>
          <w:color w:val="000000" w:themeColor="text1"/>
          <w:sz w:val="21"/>
          <w:szCs w:val="21"/>
        </w:rPr>
        <w:t>.</w:t>
      </w:r>
    </w:p>
    <w:p w14:paraId="60892A35" w14:textId="77777777" w:rsidR="00BA7025" w:rsidRPr="003D3AF8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25761480" w:rsidR="00A60941" w:rsidRPr="003D3AF8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 w:cs="Arial"/>
          <w:color w:val="000000" w:themeColor="text1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3D3AF8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Přílohu smlouvy a její nedílnou součást tvoří:</w:t>
      </w:r>
    </w:p>
    <w:p w14:paraId="7182AE31" w14:textId="1A0ED228" w:rsidR="00A60941" w:rsidRPr="003D3AF8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 w:rsidRPr="003D3AF8">
        <w:rPr>
          <w:rFonts w:asciiTheme="majorHAnsi" w:hAnsiTheme="majorHAnsi"/>
          <w:color w:val="000000" w:themeColor="text1"/>
          <w:sz w:val="21"/>
          <w:szCs w:val="21"/>
        </w:rPr>
        <w:t>Položkový rozpočet</w:t>
      </w:r>
    </w:p>
    <w:p w14:paraId="4092402E" w14:textId="368971C8" w:rsidR="00DA7FE2" w:rsidRPr="003D3AF8" w:rsidRDefault="00DA7FE2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>
        <w:rPr>
          <w:rFonts w:asciiTheme="majorHAnsi" w:hAnsiTheme="majorHAnsi"/>
          <w:color w:val="000000" w:themeColor="text1"/>
          <w:sz w:val="21"/>
          <w:szCs w:val="21"/>
        </w:rPr>
        <w:t>Seznam poddodavatelů</w:t>
      </w:r>
    </w:p>
    <w:p w14:paraId="5E923C26" w14:textId="12A7B833" w:rsidR="00C31E06" w:rsidRPr="003D3AF8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p w14:paraId="47523998" w14:textId="77777777" w:rsidR="00BA7025" w:rsidRPr="003D3AF8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tbl>
      <w:tblPr>
        <w:tblStyle w:val="Mkatabulky"/>
        <w:tblW w:w="881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3D3AF8" w:rsidRPr="003D3AF8" w14:paraId="1FCAC244" w14:textId="77777777" w:rsidTr="004C2AAE">
        <w:tc>
          <w:tcPr>
            <w:tcW w:w="4405" w:type="dxa"/>
          </w:tcPr>
          <w:p w14:paraId="35EF54B1" w14:textId="69D4B74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mbria" w:hAnsi="Cambria"/>
                <w:color w:val="000000" w:themeColor="text1"/>
                <w:sz w:val="20"/>
                <w:szCs w:val="22"/>
              </w:rPr>
            </w:pPr>
            <w:r w:rsidRPr="003D3AF8">
              <w:rPr>
                <w:rFonts w:ascii="Cambria" w:hAnsi="Cambria"/>
                <w:color w:val="000000" w:themeColor="text1"/>
                <w:sz w:val="20"/>
                <w:szCs w:val="22"/>
              </w:rPr>
              <w:t>V Odrách dne:</w:t>
            </w:r>
          </w:p>
        </w:tc>
        <w:tc>
          <w:tcPr>
            <w:tcW w:w="4405" w:type="dxa"/>
          </w:tcPr>
          <w:p w14:paraId="730EF49B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</w:tc>
      </w:tr>
      <w:tr w:rsidR="003D3AF8" w:rsidRPr="003D3AF8" w14:paraId="7E1DA37E" w14:textId="77777777" w:rsidTr="004C2AAE">
        <w:tc>
          <w:tcPr>
            <w:tcW w:w="4405" w:type="dxa"/>
          </w:tcPr>
          <w:p w14:paraId="043725A7" w14:textId="1F90EA73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Prodávající:</w:t>
            </w:r>
          </w:p>
        </w:tc>
      </w:tr>
      <w:tr w:rsidR="003D3AF8" w:rsidRPr="003D3AF8" w14:paraId="364C8CB8" w14:textId="77777777" w:rsidTr="004C2AAE">
        <w:tc>
          <w:tcPr>
            <w:tcW w:w="4405" w:type="dxa"/>
          </w:tcPr>
          <w:p w14:paraId="157F115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46C864E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10D4FF1E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564BD0A7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35907DB2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33E8A621" w14:textId="11819B67" w:rsidR="004C2AAE" w:rsidRPr="003D3AF8" w:rsidRDefault="00FD3AEE" w:rsidP="00FD3AE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2"/>
              </w:rPr>
              <w:t>Mgr. Radek Hendrych</w:t>
            </w:r>
            <w:r w:rsidR="004C2AAE" w:rsidRPr="003D3AF8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, </w:t>
            </w:r>
            <w:r>
              <w:rPr>
                <w:rFonts w:ascii="Cambria" w:hAnsi="Cambria" w:cs="Arial"/>
                <w:color w:val="000000" w:themeColor="text1"/>
                <w:sz w:val="20"/>
                <w:szCs w:val="22"/>
              </w:rPr>
              <w:t>ředitel</w:t>
            </w:r>
            <w:r w:rsidR="004C2AAE" w:rsidRPr="003D3AF8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5030CCC3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B2C31F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69861531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50F9DA9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732044C4" w14:textId="5C66CD9E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4" w:name="Text13"/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instrText xml:space="preserve"> FORMTEXT </w:instrTex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separate"/>
            </w:r>
            <w:r w:rsidR="00876999">
              <w:rPr>
                <w:rFonts w:asciiTheme="majorHAnsi" w:hAnsiTheme="majorHAnsi" w:cs="Arial"/>
                <w:noProof/>
                <w:color w:val="000000" w:themeColor="text1"/>
                <w:sz w:val="21"/>
                <w:szCs w:val="21"/>
                <w:highlight w:val="yellow"/>
              </w:rPr>
              <w:t>DOPLNÍ ÚČASTNÍK</w:t>
            </w: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end"/>
            </w:r>
            <w:bookmarkEnd w:id="14"/>
          </w:p>
          <w:p w14:paraId="37FB1475" w14:textId="77777777" w:rsidR="004C2AAE" w:rsidRPr="003D3AF8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3D3AF8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8829A" w14:textId="77777777" w:rsidR="002A6B70" w:rsidRDefault="002A6B70">
      <w:r>
        <w:separator/>
      </w:r>
    </w:p>
  </w:endnote>
  <w:endnote w:type="continuationSeparator" w:id="0">
    <w:p w14:paraId="384BE9DD" w14:textId="77777777" w:rsidR="002A6B70" w:rsidRDefault="002A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1F201" w14:textId="6F967B90" w:rsidR="00861F25" w:rsidRDefault="00861F25" w:rsidP="005A57AB">
    <w:pPr>
      <w:pStyle w:val="Zpat"/>
      <w:jc w:val="center"/>
    </w:pPr>
  </w:p>
  <w:p w14:paraId="596DCBEE" w14:textId="3DB5BF52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0F2640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0F2640">
      <w:rPr>
        <w:rFonts w:asciiTheme="majorHAnsi" w:hAnsiTheme="majorHAnsi"/>
        <w:noProof/>
      </w:rPr>
      <w:t>4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DF801" w14:textId="77777777" w:rsidR="002A6B70" w:rsidRDefault="002A6B70">
      <w:r>
        <w:separator/>
      </w:r>
    </w:p>
  </w:footnote>
  <w:footnote w:type="continuationSeparator" w:id="0">
    <w:p w14:paraId="24ACFD9F" w14:textId="77777777" w:rsidR="002A6B70" w:rsidRDefault="002A6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6B7DF" w14:textId="3AA44DC6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44068F">
      <w:rPr>
        <w:rFonts w:asciiTheme="majorHAnsi" w:hAnsiTheme="majorHAnsi"/>
        <w:i/>
        <w:iCs/>
      </w:rPr>
      <w:t>4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22DF0F4C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0E179A">
      <w:rPr>
        <w:rFonts w:asciiTheme="majorHAnsi" w:hAnsiTheme="majorHAnsi"/>
        <w:i/>
        <w:iCs/>
      </w:rPr>
      <w:t xml:space="preserve"> </w:t>
    </w:r>
    <w:r w:rsidR="0034239D" w:rsidRPr="0034239D">
      <w:rPr>
        <w:rFonts w:asciiTheme="majorHAnsi" w:hAnsiTheme="majorHAnsi"/>
        <w:i/>
        <w:iCs/>
      </w:rPr>
      <w:t>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36AA76CE"/>
    <w:lvl w:ilvl="0" w:tplc="46DCCE8A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B2AAC5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7334FE"/>
    <w:multiLevelType w:val="hybridMultilevel"/>
    <w:tmpl w:val="5BA2B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0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113ED"/>
    <w:multiLevelType w:val="hybridMultilevel"/>
    <w:tmpl w:val="9CB8C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0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1"/>
  </w:num>
  <w:num w:numId="7">
    <w:abstractNumId w:val="35"/>
  </w:num>
  <w:num w:numId="8">
    <w:abstractNumId w:val="22"/>
  </w:num>
  <w:num w:numId="9">
    <w:abstractNumId w:val="20"/>
  </w:num>
  <w:num w:numId="10">
    <w:abstractNumId w:val="32"/>
  </w:num>
  <w:num w:numId="11">
    <w:abstractNumId w:val="13"/>
  </w:num>
  <w:num w:numId="12">
    <w:abstractNumId w:val="8"/>
  </w:num>
  <w:num w:numId="13">
    <w:abstractNumId w:val="5"/>
  </w:num>
  <w:num w:numId="14">
    <w:abstractNumId w:val="39"/>
  </w:num>
  <w:num w:numId="15">
    <w:abstractNumId w:val="17"/>
  </w:num>
  <w:num w:numId="16">
    <w:abstractNumId w:val="40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9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6"/>
  </w:num>
  <w:num w:numId="24">
    <w:abstractNumId w:val="30"/>
  </w:num>
  <w:num w:numId="25">
    <w:abstractNumId w:val="25"/>
  </w:num>
  <w:num w:numId="26">
    <w:abstractNumId w:val="14"/>
  </w:num>
  <w:num w:numId="27">
    <w:abstractNumId w:val="26"/>
  </w:num>
  <w:num w:numId="28">
    <w:abstractNumId w:val="23"/>
  </w:num>
  <w:num w:numId="29">
    <w:abstractNumId w:val="7"/>
  </w:num>
  <w:num w:numId="30">
    <w:abstractNumId w:val="38"/>
  </w:num>
  <w:num w:numId="31">
    <w:abstractNumId w:val="3"/>
  </w:num>
  <w:num w:numId="32">
    <w:abstractNumId w:val="4"/>
  </w:num>
  <w:num w:numId="33">
    <w:abstractNumId w:val="31"/>
  </w:num>
  <w:num w:numId="34">
    <w:abstractNumId w:val="24"/>
  </w:num>
  <w:num w:numId="35">
    <w:abstractNumId w:val="34"/>
  </w:num>
  <w:num w:numId="36">
    <w:abstractNumId w:val="0"/>
  </w:num>
  <w:num w:numId="37">
    <w:abstractNumId w:val="27"/>
  </w:num>
  <w:num w:numId="38">
    <w:abstractNumId w:val="33"/>
  </w:num>
  <w:num w:numId="39">
    <w:abstractNumId w:val="37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25EEF"/>
    <w:rsid w:val="00034611"/>
    <w:rsid w:val="000438CB"/>
    <w:rsid w:val="00051555"/>
    <w:rsid w:val="000558CE"/>
    <w:rsid w:val="00060275"/>
    <w:rsid w:val="00060A4B"/>
    <w:rsid w:val="00060BB3"/>
    <w:rsid w:val="00064680"/>
    <w:rsid w:val="00066423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79A"/>
    <w:rsid w:val="000E1EDB"/>
    <w:rsid w:val="000E20DC"/>
    <w:rsid w:val="000E2966"/>
    <w:rsid w:val="000E47BA"/>
    <w:rsid w:val="000E56CD"/>
    <w:rsid w:val="000F1A1E"/>
    <w:rsid w:val="000F22B0"/>
    <w:rsid w:val="000F264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8C5"/>
    <w:rsid w:val="0013612F"/>
    <w:rsid w:val="0014598B"/>
    <w:rsid w:val="00145A37"/>
    <w:rsid w:val="00146CFE"/>
    <w:rsid w:val="00147FD2"/>
    <w:rsid w:val="0015026C"/>
    <w:rsid w:val="00151B46"/>
    <w:rsid w:val="00151CC2"/>
    <w:rsid w:val="00153050"/>
    <w:rsid w:val="00160C26"/>
    <w:rsid w:val="00160E5B"/>
    <w:rsid w:val="00161F02"/>
    <w:rsid w:val="001634DC"/>
    <w:rsid w:val="00165180"/>
    <w:rsid w:val="001659FA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066C5"/>
    <w:rsid w:val="00210CE4"/>
    <w:rsid w:val="002115A1"/>
    <w:rsid w:val="00211609"/>
    <w:rsid w:val="002124EB"/>
    <w:rsid w:val="00217A1C"/>
    <w:rsid w:val="002215DE"/>
    <w:rsid w:val="00227FED"/>
    <w:rsid w:val="0023238C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3B52"/>
    <w:rsid w:val="00274BE8"/>
    <w:rsid w:val="002751CD"/>
    <w:rsid w:val="00276BA1"/>
    <w:rsid w:val="00277AD2"/>
    <w:rsid w:val="00284F27"/>
    <w:rsid w:val="00296FDD"/>
    <w:rsid w:val="002A4BA9"/>
    <w:rsid w:val="002A530E"/>
    <w:rsid w:val="002A6B70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254A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3AF8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B44"/>
    <w:rsid w:val="00404DFC"/>
    <w:rsid w:val="00406DE5"/>
    <w:rsid w:val="00412CCD"/>
    <w:rsid w:val="0041644D"/>
    <w:rsid w:val="00416A18"/>
    <w:rsid w:val="00426905"/>
    <w:rsid w:val="00432B6A"/>
    <w:rsid w:val="00434ECE"/>
    <w:rsid w:val="00434FD0"/>
    <w:rsid w:val="00436F57"/>
    <w:rsid w:val="00440574"/>
    <w:rsid w:val="0044068F"/>
    <w:rsid w:val="004452F5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2AAE"/>
    <w:rsid w:val="004C7081"/>
    <w:rsid w:val="004D0243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306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3C4C"/>
    <w:rsid w:val="00585232"/>
    <w:rsid w:val="0058526D"/>
    <w:rsid w:val="005926DB"/>
    <w:rsid w:val="005A0C36"/>
    <w:rsid w:val="005A111B"/>
    <w:rsid w:val="005A57AB"/>
    <w:rsid w:val="005A58A1"/>
    <w:rsid w:val="005B4128"/>
    <w:rsid w:val="005C4B0C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A73BD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42A"/>
    <w:rsid w:val="007B0C2A"/>
    <w:rsid w:val="007B1A3F"/>
    <w:rsid w:val="007B38F0"/>
    <w:rsid w:val="007B3B0E"/>
    <w:rsid w:val="007B577F"/>
    <w:rsid w:val="007B6D12"/>
    <w:rsid w:val="007C109A"/>
    <w:rsid w:val="007C191F"/>
    <w:rsid w:val="007C4501"/>
    <w:rsid w:val="007C7DF6"/>
    <w:rsid w:val="007D07B3"/>
    <w:rsid w:val="007D7FDE"/>
    <w:rsid w:val="007E0628"/>
    <w:rsid w:val="007E0C43"/>
    <w:rsid w:val="007E4F70"/>
    <w:rsid w:val="007E59E1"/>
    <w:rsid w:val="007E60DE"/>
    <w:rsid w:val="007F36F2"/>
    <w:rsid w:val="008036B8"/>
    <w:rsid w:val="00812B30"/>
    <w:rsid w:val="008130BF"/>
    <w:rsid w:val="008249A6"/>
    <w:rsid w:val="00826054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6999"/>
    <w:rsid w:val="008775C0"/>
    <w:rsid w:val="0088022E"/>
    <w:rsid w:val="00881BBC"/>
    <w:rsid w:val="00885476"/>
    <w:rsid w:val="00886240"/>
    <w:rsid w:val="00890CAA"/>
    <w:rsid w:val="00895238"/>
    <w:rsid w:val="008A05C1"/>
    <w:rsid w:val="008A07BE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8F7FBC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3A21"/>
    <w:rsid w:val="00AD5B27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07A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E7D61"/>
    <w:rsid w:val="00BF080D"/>
    <w:rsid w:val="00BF142D"/>
    <w:rsid w:val="00BF2061"/>
    <w:rsid w:val="00BF2779"/>
    <w:rsid w:val="00BF5035"/>
    <w:rsid w:val="00C01082"/>
    <w:rsid w:val="00C03F66"/>
    <w:rsid w:val="00C07782"/>
    <w:rsid w:val="00C103DF"/>
    <w:rsid w:val="00C10811"/>
    <w:rsid w:val="00C11C60"/>
    <w:rsid w:val="00C13D22"/>
    <w:rsid w:val="00C172E4"/>
    <w:rsid w:val="00C25C6B"/>
    <w:rsid w:val="00C27259"/>
    <w:rsid w:val="00C300FA"/>
    <w:rsid w:val="00C3040D"/>
    <w:rsid w:val="00C31E06"/>
    <w:rsid w:val="00C46EF4"/>
    <w:rsid w:val="00C51349"/>
    <w:rsid w:val="00C52404"/>
    <w:rsid w:val="00C52E8B"/>
    <w:rsid w:val="00C61EF7"/>
    <w:rsid w:val="00C74564"/>
    <w:rsid w:val="00C81733"/>
    <w:rsid w:val="00C82F61"/>
    <w:rsid w:val="00C8603A"/>
    <w:rsid w:val="00C9285C"/>
    <w:rsid w:val="00C94527"/>
    <w:rsid w:val="00C9780D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D6777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313C"/>
    <w:rsid w:val="00D04367"/>
    <w:rsid w:val="00D05338"/>
    <w:rsid w:val="00D05D4C"/>
    <w:rsid w:val="00D13397"/>
    <w:rsid w:val="00D17D2F"/>
    <w:rsid w:val="00D22C6F"/>
    <w:rsid w:val="00D2353A"/>
    <w:rsid w:val="00D267BD"/>
    <w:rsid w:val="00D312F2"/>
    <w:rsid w:val="00D318CC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A7FE2"/>
    <w:rsid w:val="00DB3ECE"/>
    <w:rsid w:val="00DB5C0C"/>
    <w:rsid w:val="00DB7BB4"/>
    <w:rsid w:val="00DC1730"/>
    <w:rsid w:val="00DC35F4"/>
    <w:rsid w:val="00DC5769"/>
    <w:rsid w:val="00DC5C3E"/>
    <w:rsid w:val="00DC678A"/>
    <w:rsid w:val="00DD11B4"/>
    <w:rsid w:val="00DD2A6F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02EC5"/>
    <w:rsid w:val="00E10A56"/>
    <w:rsid w:val="00E13483"/>
    <w:rsid w:val="00E15B0E"/>
    <w:rsid w:val="00E20BAD"/>
    <w:rsid w:val="00E236ED"/>
    <w:rsid w:val="00E27494"/>
    <w:rsid w:val="00E27D5B"/>
    <w:rsid w:val="00E331D4"/>
    <w:rsid w:val="00E40082"/>
    <w:rsid w:val="00E408FA"/>
    <w:rsid w:val="00E42888"/>
    <w:rsid w:val="00E47B36"/>
    <w:rsid w:val="00E509E8"/>
    <w:rsid w:val="00E5583C"/>
    <w:rsid w:val="00E62DD7"/>
    <w:rsid w:val="00E653EC"/>
    <w:rsid w:val="00E77A9C"/>
    <w:rsid w:val="00E81706"/>
    <w:rsid w:val="00E86313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4665B"/>
    <w:rsid w:val="00F47EE8"/>
    <w:rsid w:val="00F53138"/>
    <w:rsid w:val="00F56C19"/>
    <w:rsid w:val="00F57ECC"/>
    <w:rsid w:val="00F60049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D3AEE"/>
    <w:rsid w:val="00FE183E"/>
    <w:rsid w:val="00FE1C96"/>
    <w:rsid w:val="00FE1E62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6F03-DD87-48FF-8017-0252D108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1498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31</cp:revision>
  <cp:lastPrinted>2017-09-11T07:19:00Z</cp:lastPrinted>
  <dcterms:created xsi:type="dcterms:W3CDTF">2022-08-26T11:41:00Z</dcterms:created>
  <dcterms:modified xsi:type="dcterms:W3CDTF">2022-08-31T18:31:00Z</dcterms:modified>
</cp:coreProperties>
</file>