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038C" w14:textId="3A380291" w:rsidR="00140F01" w:rsidRPr="00434564" w:rsidRDefault="00140F01" w:rsidP="00140F01">
      <w:pPr>
        <w:spacing w:line="240" w:lineRule="auto"/>
        <w:jc w:val="both"/>
        <w:rPr>
          <w:rFonts w:ascii="Calibri" w:eastAsia="Calibri" w:hAnsi="Calibri" w:cs="Calibri"/>
          <w:b/>
          <w:color w:val="1F497D"/>
          <w:kern w:val="0"/>
          <w:sz w:val="36"/>
          <w:szCs w:val="56"/>
          <w:lang w:eastAsia="cs-CZ"/>
          <w14:ligatures w14:val="none"/>
        </w:rPr>
      </w:pPr>
      <w:r w:rsidRPr="00434564">
        <w:rPr>
          <w:rFonts w:ascii="Calibri" w:eastAsia="Calibri" w:hAnsi="Calibri" w:cs="Calibri"/>
          <w:b/>
          <w:color w:val="1F497D"/>
          <w:kern w:val="0"/>
          <w:sz w:val="36"/>
          <w:szCs w:val="56"/>
          <w:lang w:eastAsia="cs-CZ"/>
          <w14:ligatures w14:val="none"/>
        </w:rPr>
        <w:t>Příloha č. 2</w:t>
      </w:r>
      <w:r>
        <w:rPr>
          <w:rFonts w:ascii="Calibri" w:eastAsia="Calibri" w:hAnsi="Calibri" w:cs="Calibri"/>
          <w:b/>
          <w:color w:val="1F497D"/>
          <w:kern w:val="0"/>
          <w:sz w:val="36"/>
          <w:szCs w:val="56"/>
          <w:lang w:eastAsia="cs-CZ"/>
          <w14:ligatures w14:val="none"/>
        </w:rPr>
        <w:t>c</w:t>
      </w:r>
    </w:p>
    <w:p w14:paraId="490758EA" w14:textId="2EFF06C8" w:rsidR="00140F01" w:rsidRDefault="00140F01" w:rsidP="00140F01">
      <w:pPr>
        <w:spacing w:line="240" w:lineRule="auto"/>
        <w:ind w:left="-5"/>
        <w:jc w:val="both"/>
        <w:rPr>
          <w:b/>
          <w:bCs/>
        </w:rPr>
      </w:pPr>
      <w:r>
        <w:rPr>
          <w:rFonts w:ascii="Calibri" w:eastAsia="Calibri" w:hAnsi="Calibri" w:cs="Calibri"/>
          <w:b/>
          <w:color w:val="1F497D"/>
          <w:kern w:val="0"/>
          <w:sz w:val="36"/>
          <w:szCs w:val="56"/>
          <w:lang w:eastAsia="cs-CZ"/>
          <w14:ligatures w14:val="none"/>
        </w:rPr>
        <w:t>Seznam právních předpisů</w:t>
      </w:r>
    </w:p>
    <w:p w14:paraId="4E9CB2A7" w14:textId="05D283E4" w:rsidR="007053BE" w:rsidRDefault="007053BE" w:rsidP="00140F01">
      <w:pPr>
        <w:spacing w:line="240" w:lineRule="auto"/>
        <w:ind w:left="-5"/>
        <w:jc w:val="both"/>
      </w:pPr>
      <w:r w:rsidRPr="008877AD">
        <w:rPr>
          <w:b/>
          <w:bCs/>
        </w:rPr>
        <w:t xml:space="preserve">Na požadované řešení a provoz zadavatele se vztahuje legislativa uvedená v této </w:t>
      </w:r>
      <w:r w:rsidR="00140F01">
        <w:rPr>
          <w:b/>
          <w:bCs/>
        </w:rPr>
        <w:t>příloze</w:t>
      </w:r>
      <w:r w:rsidRPr="008877AD">
        <w:rPr>
          <w:b/>
          <w:bCs/>
        </w:rPr>
        <w:t>. Řešení musí být v souladu s platnou legislativou ke dni uvedení NIS do provozu</w:t>
      </w:r>
      <w:r w:rsidRPr="005D7630">
        <w:t xml:space="preserve">. </w:t>
      </w:r>
    </w:p>
    <w:p w14:paraId="6C7E81F6" w14:textId="77777777" w:rsidR="007053BE" w:rsidRDefault="007053BE" w:rsidP="00140F01">
      <w:pPr>
        <w:pStyle w:val="Nadpis3"/>
        <w:spacing w:before="0" w:line="240" w:lineRule="auto"/>
        <w:jc w:val="both"/>
      </w:pPr>
      <w:bookmarkStart w:id="0" w:name="_Toc142481765"/>
      <w:bookmarkStart w:id="1" w:name="_Toc185504889"/>
      <w:r w:rsidRPr="005D7630">
        <w:t>Ochrana osobních údajů</w:t>
      </w:r>
      <w:bookmarkEnd w:id="0"/>
      <w:bookmarkEnd w:id="1"/>
    </w:p>
    <w:p w14:paraId="4C4CBDA4" w14:textId="77777777" w:rsidR="007053BE" w:rsidRPr="005D7630" w:rsidRDefault="007053BE" w:rsidP="00140F01">
      <w:pPr>
        <w:numPr>
          <w:ilvl w:val="0"/>
          <w:numId w:val="1"/>
        </w:numPr>
        <w:spacing w:after="42" w:line="240" w:lineRule="auto"/>
        <w:ind w:hanging="360"/>
        <w:jc w:val="both"/>
      </w:pPr>
      <w:r w:rsidRPr="005D7630">
        <w:t xml:space="preserve">Zákon č. 101/2000 Sb., o ochraně osobních údajů a o změně některých dalších zákonů, ve znění pozdějších předpisů </w:t>
      </w:r>
    </w:p>
    <w:p w14:paraId="37141F69" w14:textId="77777777" w:rsidR="007053BE" w:rsidRPr="005D7630" w:rsidRDefault="007053BE" w:rsidP="00140F01">
      <w:pPr>
        <w:numPr>
          <w:ilvl w:val="0"/>
          <w:numId w:val="1"/>
        </w:numPr>
        <w:spacing w:after="263" w:line="240" w:lineRule="auto"/>
        <w:ind w:hanging="360"/>
        <w:jc w:val="both"/>
      </w:pPr>
      <w:r w:rsidRPr="005D7630">
        <w:t xml:space="preserve">Nařízení Evropského parlamentu a Rady (EU) 2016/679 ze dne 27. dubna 2016 o ochraně fyzických osob v souvislosti se zpracováním osobních údajů a o volném pohybu těchto údajů a o zrušení směrnice 95/46/ES (obecné nařízení o ochraně osobních údajů) </w:t>
      </w:r>
    </w:p>
    <w:p w14:paraId="1A05C907" w14:textId="77777777" w:rsidR="007053BE" w:rsidRPr="003D4861" w:rsidRDefault="007053BE" w:rsidP="00140F01">
      <w:pPr>
        <w:pStyle w:val="Nadpis3"/>
        <w:spacing w:before="0" w:line="240" w:lineRule="auto"/>
        <w:jc w:val="both"/>
      </w:pPr>
      <w:bookmarkStart w:id="2" w:name="_Toc142481766"/>
      <w:bookmarkStart w:id="3" w:name="_Toc185504890"/>
      <w:r w:rsidRPr="005D7630">
        <w:t>Legislativa specifická pro zdravotnická zařízení</w:t>
      </w:r>
      <w:bookmarkEnd w:id="2"/>
      <w:bookmarkEnd w:id="3"/>
    </w:p>
    <w:p w14:paraId="6AFDC8C3" w14:textId="77777777" w:rsidR="007053BE" w:rsidRPr="005D7630" w:rsidRDefault="007053BE" w:rsidP="00140F01">
      <w:pPr>
        <w:numPr>
          <w:ilvl w:val="0"/>
          <w:numId w:val="2"/>
        </w:numPr>
        <w:spacing w:after="41" w:line="240" w:lineRule="auto"/>
        <w:ind w:hanging="360"/>
        <w:jc w:val="both"/>
      </w:pPr>
      <w:r w:rsidRPr="005D7630">
        <w:t xml:space="preserve">Zákon č. 372/2011 Sb., o zdravotních službách a podmínkách jejich poskytování, ve znění pozdějších předpisů </w:t>
      </w:r>
    </w:p>
    <w:p w14:paraId="250BDC06" w14:textId="77777777" w:rsidR="007053BE" w:rsidRPr="005D7630" w:rsidRDefault="007053BE" w:rsidP="00140F01">
      <w:pPr>
        <w:numPr>
          <w:ilvl w:val="0"/>
          <w:numId w:val="2"/>
        </w:numPr>
        <w:spacing w:after="42" w:line="240" w:lineRule="auto"/>
        <w:ind w:hanging="360"/>
        <w:jc w:val="both"/>
      </w:pPr>
      <w:r w:rsidRPr="005D7630">
        <w:t xml:space="preserve">Zákon č. 378/2007 Sb. o léčivech, ve znění pozdějších předpisů </w:t>
      </w:r>
    </w:p>
    <w:p w14:paraId="53049D55" w14:textId="77777777" w:rsidR="007053BE" w:rsidRPr="005D7630" w:rsidRDefault="007053BE" w:rsidP="00140F01">
      <w:pPr>
        <w:numPr>
          <w:ilvl w:val="0"/>
          <w:numId w:val="2"/>
        </w:numPr>
        <w:spacing w:after="41" w:line="240" w:lineRule="auto"/>
        <w:ind w:hanging="360"/>
        <w:jc w:val="both"/>
      </w:pPr>
      <w:r w:rsidRPr="005D7630">
        <w:t xml:space="preserve">Vyhláška č. 54/2008 Sb., o způsobu předepisování léčivých přípravků, údajích uváděných na lékařském předpisu a o pravidlech používání lékařských předpisů, ve znění pozdějších předpisů </w:t>
      </w:r>
    </w:p>
    <w:p w14:paraId="7314A6D5" w14:textId="77777777" w:rsidR="007053BE" w:rsidRPr="005D7630" w:rsidRDefault="007053BE" w:rsidP="00140F01">
      <w:pPr>
        <w:numPr>
          <w:ilvl w:val="0"/>
          <w:numId w:val="2"/>
        </w:numPr>
        <w:spacing w:after="41" w:line="240" w:lineRule="auto"/>
        <w:ind w:hanging="360"/>
        <w:jc w:val="both"/>
      </w:pPr>
      <w:r w:rsidRPr="005D7630">
        <w:t xml:space="preserve">Vyhláška č. 84/2008 Sb., o správné lékárenské praxi, bližších podmínkách zacházení s léčivy v lékárnách, zdravotnických zařízení a u dalších provozovatelů a zařízení vydávajících léčivé přípravky, v platném znění </w:t>
      </w:r>
    </w:p>
    <w:p w14:paraId="7A513B3A" w14:textId="77777777" w:rsidR="007053BE" w:rsidRPr="005D7630" w:rsidRDefault="007053BE" w:rsidP="00140F01">
      <w:pPr>
        <w:numPr>
          <w:ilvl w:val="0"/>
          <w:numId w:val="2"/>
        </w:numPr>
        <w:spacing w:after="39" w:line="240" w:lineRule="auto"/>
        <w:ind w:hanging="360"/>
        <w:jc w:val="both"/>
      </w:pPr>
      <w:r w:rsidRPr="005D7630">
        <w:t xml:space="preserve">Vyhláška č. 62/2015 Sb., o provedení některých ustanovení zákona o zdravotnických prostředcích, v platném znění </w:t>
      </w:r>
    </w:p>
    <w:p w14:paraId="195A1808" w14:textId="77777777" w:rsidR="007053BE" w:rsidRPr="005D7630" w:rsidRDefault="007053BE" w:rsidP="00140F01">
      <w:pPr>
        <w:numPr>
          <w:ilvl w:val="0"/>
          <w:numId w:val="2"/>
        </w:numPr>
        <w:spacing w:after="45" w:line="240" w:lineRule="auto"/>
        <w:ind w:hanging="360"/>
        <w:jc w:val="both"/>
      </w:pPr>
      <w:r w:rsidRPr="005D7630">
        <w:t xml:space="preserve">Zákon č. 48/1997 Sb., o veřejném zdravotním pojištění, v platném znění </w:t>
      </w:r>
    </w:p>
    <w:p w14:paraId="3058BD67" w14:textId="77777777" w:rsidR="007053BE" w:rsidRPr="005D7630" w:rsidRDefault="007053BE" w:rsidP="00140F01">
      <w:pPr>
        <w:numPr>
          <w:ilvl w:val="0"/>
          <w:numId w:val="2"/>
        </w:numPr>
        <w:spacing w:after="45" w:line="240" w:lineRule="auto"/>
        <w:ind w:hanging="360"/>
        <w:jc w:val="both"/>
      </w:pPr>
      <w:r w:rsidRPr="005D7630">
        <w:t xml:space="preserve">Vyhláška č. 98/2012 Sb., o zdravotnické dokumentaci a její novelizace, vyhláška 137/2018 Sb. </w:t>
      </w:r>
    </w:p>
    <w:p w14:paraId="5766F1BB" w14:textId="77777777" w:rsidR="007053BE" w:rsidRPr="005D7630" w:rsidRDefault="007053BE" w:rsidP="00140F01">
      <w:pPr>
        <w:numPr>
          <w:ilvl w:val="0"/>
          <w:numId w:val="2"/>
        </w:numPr>
        <w:spacing w:after="120" w:line="240" w:lineRule="auto"/>
        <w:ind w:left="714" w:hanging="357"/>
        <w:jc w:val="both"/>
      </w:pPr>
      <w:r w:rsidRPr="005D7630">
        <w:t xml:space="preserve">Vyhláška č. 116/2012 Sb., o předávání údajů do Národního zdravotnického informačního systému, v platném znění </w:t>
      </w:r>
    </w:p>
    <w:p w14:paraId="2354808E" w14:textId="77777777" w:rsidR="007053BE" w:rsidRDefault="007053BE" w:rsidP="00140F01">
      <w:pPr>
        <w:pStyle w:val="Nadpis3"/>
        <w:spacing w:before="0" w:line="240" w:lineRule="auto"/>
        <w:jc w:val="both"/>
      </w:pPr>
      <w:bookmarkStart w:id="4" w:name="_Toc142481767"/>
      <w:bookmarkStart w:id="5" w:name="_Toc185504891"/>
      <w:r w:rsidRPr="005D7630">
        <w:t>Bezpečnost informací</w:t>
      </w:r>
      <w:bookmarkEnd w:id="4"/>
      <w:bookmarkEnd w:id="5"/>
    </w:p>
    <w:p w14:paraId="7BD49775" w14:textId="77777777" w:rsidR="007053BE" w:rsidRPr="005D7630" w:rsidRDefault="007053BE" w:rsidP="00140F01">
      <w:pPr>
        <w:numPr>
          <w:ilvl w:val="0"/>
          <w:numId w:val="3"/>
        </w:numPr>
        <w:spacing w:after="45" w:line="240" w:lineRule="auto"/>
        <w:ind w:hanging="360"/>
        <w:jc w:val="both"/>
      </w:pPr>
      <w:r w:rsidRPr="005D7630">
        <w:t xml:space="preserve">Zákon č. 181/2014 Sb., o kybernetické bezpečnosti, v platném znění </w:t>
      </w:r>
    </w:p>
    <w:p w14:paraId="25C35579" w14:textId="77777777" w:rsidR="007053BE" w:rsidRPr="005D7630" w:rsidRDefault="007053BE" w:rsidP="00140F01">
      <w:pPr>
        <w:numPr>
          <w:ilvl w:val="0"/>
          <w:numId w:val="3"/>
        </w:numPr>
        <w:spacing w:after="262" w:line="240" w:lineRule="auto"/>
        <w:ind w:hanging="360"/>
        <w:jc w:val="both"/>
      </w:pPr>
      <w:r w:rsidRPr="005D7630">
        <w:t xml:space="preserve">Vyhláška č. 316/2014 Sb., o kybernetické bezpečnosti, v platném znění </w:t>
      </w:r>
    </w:p>
    <w:p w14:paraId="51B2C112" w14:textId="77777777" w:rsidR="007053BE" w:rsidRDefault="007053BE" w:rsidP="00140F01">
      <w:pPr>
        <w:pStyle w:val="Nadpis3"/>
        <w:spacing w:before="0" w:line="240" w:lineRule="auto"/>
        <w:jc w:val="both"/>
      </w:pPr>
      <w:bookmarkStart w:id="6" w:name="_Toc142481768"/>
      <w:bookmarkStart w:id="7" w:name="_Toc185504892"/>
      <w:r w:rsidRPr="005D7630">
        <w:t>Ostatní</w:t>
      </w:r>
      <w:bookmarkEnd w:id="6"/>
      <w:bookmarkEnd w:id="7"/>
    </w:p>
    <w:p w14:paraId="51A5BFA2" w14:textId="77777777" w:rsidR="007053BE" w:rsidRPr="005D7630" w:rsidRDefault="007053BE" w:rsidP="00140F01">
      <w:pPr>
        <w:numPr>
          <w:ilvl w:val="0"/>
          <w:numId w:val="4"/>
        </w:numPr>
        <w:spacing w:after="45" w:line="240" w:lineRule="auto"/>
        <w:ind w:hanging="360"/>
        <w:jc w:val="both"/>
      </w:pPr>
      <w:r w:rsidRPr="005D7630">
        <w:t xml:space="preserve">Zákon č. 297/2016 Sb., o službách vytvářejících důvěru pro elektronické transakce </w:t>
      </w:r>
    </w:p>
    <w:p w14:paraId="5EB57980" w14:textId="77777777" w:rsidR="007053BE" w:rsidRPr="005D7630" w:rsidRDefault="007053BE" w:rsidP="00140F01">
      <w:pPr>
        <w:numPr>
          <w:ilvl w:val="0"/>
          <w:numId w:val="4"/>
        </w:numPr>
        <w:spacing w:after="0" w:line="240" w:lineRule="auto"/>
        <w:ind w:hanging="360"/>
        <w:jc w:val="both"/>
      </w:pPr>
      <w:r w:rsidRPr="005D7630">
        <w:t xml:space="preserve">Zákon č. 499/2008Sb., o archivnictví a spisové službě, v platném znění </w:t>
      </w:r>
    </w:p>
    <w:p w14:paraId="7303008F" w14:textId="77777777" w:rsidR="007053BE" w:rsidRPr="005D7630" w:rsidRDefault="007053BE" w:rsidP="00140F01">
      <w:pPr>
        <w:numPr>
          <w:ilvl w:val="0"/>
          <w:numId w:val="4"/>
        </w:numPr>
        <w:spacing w:after="279" w:line="240" w:lineRule="auto"/>
        <w:ind w:hanging="360"/>
        <w:jc w:val="both"/>
      </w:pPr>
      <w:r w:rsidRPr="005D7630">
        <w:t xml:space="preserve">Norma </w:t>
      </w:r>
      <w:r w:rsidRPr="005D7630">
        <w:rPr>
          <w:sz w:val="20"/>
        </w:rPr>
        <w:t>ČSN EN ISO 15189:2013 „Zdravotnické laboratoře – Požadavky na kvalitu a způsobilost“</w:t>
      </w:r>
      <w:r w:rsidRPr="005D7630">
        <w:t xml:space="preserve"> </w:t>
      </w:r>
    </w:p>
    <w:p w14:paraId="55395EB7" w14:textId="77777777" w:rsidR="007053BE" w:rsidRDefault="007053BE" w:rsidP="00140F01">
      <w:pPr>
        <w:pStyle w:val="Nadpis3"/>
        <w:spacing w:before="0" w:line="240" w:lineRule="auto"/>
        <w:jc w:val="both"/>
      </w:pPr>
      <w:bookmarkStart w:id="8" w:name="_Toc142481769"/>
      <w:bookmarkStart w:id="9" w:name="_Toc185504893"/>
      <w:r w:rsidRPr="005D7630">
        <w:t>Připravovaná legislativa</w:t>
      </w:r>
      <w:bookmarkEnd w:id="8"/>
      <w:bookmarkEnd w:id="9"/>
    </w:p>
    <w:p w14:paraId="14F37A8F" w14:textId="77777777" w:rsidR="007053BE" w:rsidRPr="005D7630" w:rsidRDefault="007053BE" w:rsidP="00140F01">
      <w:pPr>
        <w:spacing w:after="45" w:line="240" w:lineRule="auto"/>
        <w:ind w:left="370"/>
        <w:jc w:val="both"/>
      </w:pPr>
      <w:r w:rsidRPr="005D7630">
        <w:t>1.</w:t>
      </w:r>
      <w:r w:rsidRPr="005D7630">
        <w:rPr>
          <w:rFonts w:ascii="Arial" w:eastAsia="Arial" w:hAnsi="Arial" w:cs="Arial"/>
        </w:rPr>
        <w:t xml:space="preserve"> </w:t>
      </w:r>
      <w:r w:rsidRPr="005D7630">
        <w:t xml:space="preserve">Legislativa specifická pro zdravotnická zařízení </w:t>
      </w:r>
    </w:p>
    <w:p w14:paraId="5BB17EE3" w14:textId="77777777" w:rsidR="007053BE" w:rsidRPr="005D7630" w:rsidRDefault="007053BE" w:rsidP="00140F01">
      <w:pPr>
        <w:numPr>
          <w:ilvl w:val="0"/>
          <w:numId w:val="5"/>
        </w:numPr>
        <w:spacing w:after="39" w:line="240" w:lineRule="auto"/>
        <w:ind w:hanging="360"/>
        <w:jc w:val="both"/>
      </w:pPr>
      <w:r w:rsidRPr="005D7630">
        <w:t xml:space="preserve">Návrh zákona, kterým se mění zákon č. 378/2007 Sb., o léčivech a o změnách některých souvisejících zákonů (zákon o léčivech), ve znění pozdějších předpisů </w:t>
      </w:r>
    </w:p>
    <w:p w14:paraId="435DBA7C" w14:textId="77777777" w:rsidR="007053BE" w:rsidRPr="005D7630" w:rsidRDefault="007053BE" w:rsidP="00140F01">
      <w:pPr>
        <w:numPr>
          <w:ilvl w:val="0"/>
          <w:numId w:val="5"/>
        </w:numPr>
        <w:spacing w:after="39" w:line="240" w:lineRule="auto"/>
        <w:ind w:hanging="360"/>
        <w:jc w:val="both"/>
      </w:pPr>
      <w:r w:rsidRPr="005D7630">
        <w:t xml:space="preserve">Návrh zákona, kterým se mění zákon č. 95/2004 Sb., o podmínkách získávání a uznávání odborné způsobilosti a specializované způsobilosti k výkonu zdravotnického povolání lékaře, zubního lékaře a farmaceuta, ve znění pozdějších předpisů </w:t>
      </w:r>
    </w:p>
    <w:p w14:paraId="7DC7EFB9" w14:textId="77777777" w:rsidR="007053BE" w:rsidRPr="005D7630" w:rsidRDefault="007053BE" w:rsidP="00140F01">
      <w:pPr>
        <w:numPr>
          <w:ilvl w:val="0"/>
          <w:numId w:val="5"/>
        </w:numPr>
        <w:spacing w:after="34" w:line="240" w:lineRule="auto"/>
        <w:ind w:hanging="360"/>
        <w:jc w:val="both"/>
      </w:pPr>
      <w:r w:rsidRPr="005D7630">
        <w:lastRenderedPageBreak/>
        <w:t xml:space="preserve">Návrh zákona, kterým se mění zákon č. 592/1992 Sb., o pojistném na veřejné zdravotní pojištění, ve znění pozdějších předpisů (valorizace platby státu za státní pojištěnce) </w:t>
      </w:r>
    </w:p>
    <w:p w14:paraId="7A4493C0" w14:textId="77777777" w:rsidR="007053BE" w:rsidRPr="005D7630" w:rsidRDefault="007053BE" w:rsidP="00140F01">
      <w:pPr>
        <w:numPr>
          <w:ilvl w:val="0"/>
          <w:numId w:val="5"/>
        </w:numPr>
        <w:spacing w:after="7" w:line="240" w:lineRule="auto"/>
        <w:ind w:hanging="360"/>
        <w:jc w:val="both"/>
      </w:pPr>
      <w:r w:rsidRPr="005D7630">
        <w:t xml:space="preserve">Návrh zákona, kterým se mění zákon č. 96/2004 Sb., o podmínkách získávání a uznávání způsobilosti k výkonu nelékařských zdravotnických povolání a k výkonu činností souvisejících s poskytováním zdravotní péče a o změně některých souvisejících zákonů </w:t>
      </w:r>
    </w:p>
    <w:p w14:paraId="33E51D38" w14:textId="77777777" w:rsidR="007053BE" w:rsidRPr="005D7630" w:rsidRDefault="007053BE" w:rsidP="00140F01">
      <w:pPr>
        <w:spacing w:after="42" w:line="240" w:lineRule="auto"/>
        <w:ind w:left="1450"/>
        <w:jc w:val="both"/>
      </w:pPr>
      <w:r w:rsidRPr="005D7630">
        <w:t xml:space="preserve">(zákon o nelékařských zdravotnických povoláních, ve znění pozdějších předpisů </w:t>
      </w:r>
    </w:p>
    <w:p w14:paraId="779EB98B" w14:textId="77777777" w:rsidR="007053BE" w:rsidRPr="005D7630" w:rsidRDefault="007053BE" w:rsidP="00140F01">
      <w:pPr>
        <w:numPr>
          <w:ilvl w:val="0"/>
          <w:numId w:val="5"/>
        </w:numPr>
        <w:spacing w:after="41" w:line="240" w:lineRule="auto"/>
        <w:ind w:hanging="360"/>
        <w:jc w:val="both"/>
      </w:pPr>
      <w:r w:rsidRPr="005D7630">
        <w:t xml:space="preserve">Návrh zákona, kterým se mění zákon č. 285/2002 Sb., o darování, odběrech a transplantacích tkání a orgánů, ve znění pozdějších předpisů </w:t>
      </w:r>
    </w:p>
    <w:p w14:paraId="1F40FF49" w14:textId="77777777" w:rsidR="007053BE" w:rsidRPr="005D7630" w:rsidRDefault="007053BE" w:rsidP="00140F01">
      <w:pPr>
        <w:numPr>
          <w:ilvl w:val="0"/>
          <w:numId w:val="5"/>
        </w:numPr>
        <w:spacing w:after="39" w:line="240" w:lineRule="auto"/>
        <w:ind w:hanging="360"/>
        <w:jc w:val="both"/>
      </w:pPr>
      <w:r w:rsidRPr="005D7630">
        <w:t xml:space="preserve">Návrh zákona, kterým se mění zákon č. 373/2011 Sb., o specifických zdravotních službách, ve znění pozdějších předpisů </w:t>
      </w:r>
    </w:p>
    <w:p w14:paraId="1B8E5BAE" w14:textId="77777777" w:rsidR="007053BE" w:rsidRPr="005D7630" w:rsidRDefault="007053BE" w:rsidP="00140F01">
      <w:pPr>
        <w:numPr>
          <w:ilvl w:val="0"/>
          <w:numId w:val="5"/>
        </w:numPr>
        <w:spacing w:after="34" w:line="240" w:lineRule="auto"/>
        <w:ind w:hanging="360"/>
        <w:jc w:val="both"/>
      </w:pPr>
      <w:r w:rsidRPr="005D7630">
        <w:t xml:space="preserve">Návrh zákona, kterým se mění zákon č. 592/1992 Sb., o pojistném na veřejné zdravotní pojištění, ve znění pozdějších předpisů (valorizace platby státu za státní pojištěnce) </w:t>
      </w:r>
    </w:p>
    <w:p w14:paraId="3F5FD29D" w14:textId="77777777" w:rsidR="007053BE" w:rsidRPr="005D7630" w:rsidRDefault="007053BE" w:rsidP="00140F01">
      <w:pPr>
        <w:numPr>
          <w:ilvl w:val="0"/>
          <w:numId w:val="5"/>
        </w:numPr>
        <w:spacing w:after="41" w:line="240" w:lineRule="auto"/>
        <w:ind w:hanging="360"/>
        <w:jc w:val="both"/>
      </w:pPr>
      <w:r w:rsidRPr="005D7630">
        <w:t xml:space="preserve">Návrh vyhlášky, kterou se mění vyhláška č. 306/2012 Sb., o podmínkách předcházení vzniku a šíření infekčních onemocnění a o hygienických požadavcích na provoz zdravotnických zařízení a ústavů sociální péče, ve znění pozdějších předpisů </w:t>
      </w:r>
    </w:p>
    <w:p w14:paraId="5A1FB7E9" w14:textId="77777777" w:rsidR="007053BE" w:rsidRPr="005D7630" w:rsidRDefault="007053BE" w:rsidP="00140F01">
      <w:pPr>
        <w:numPr>
          <w:ilvl w:val="0"/>
          <w:numId w:val="5"/>
        </w:numPr>
        <w:spacing w:after="42" w:line="240" w:lineRule="auto"/>
        <w:ind w:hanging="360"/>
        <w:jc w:val="both"/>
      </w:pPr>
      <w:r w:rsidRPr="005D7630">
        <w:t xml:space="preserve">Návrh vyhlášky, kterou se mění vyhláška č. 102/2012 Sb., o hodnocení kvality a bezpečí lůžkové zdravotní péče, ve znění pozdějších předpisů </w:t>
      </w:r>
    </w:p>
    <w:p w14:paraId="0DDF4E8C" w14:textId="77777777" w:rsidR="007053BE" w:rsidRPr="005D7630" w:rsidRDefault="007053BE" w:rsidP="00140F01">
      <w:pPr>
        <w:numPr>
          <w:ilvl w:val="0"/>
          <w:numId w:val="5"/>
        </w:numPr>
        <w:spacing w:after="41" w:line="240" w:lineRule="auto"/>
        <w:ind w:hanging="360"/>
        <w:jc w:val="both"/>
      </w:pPr>
      <w:r w:rsidRPr="005D7630">
        <w:t xml:space="preserve">Návrh vyhlášky, kterou se mění vyhláška č. 187/2009 Sb., o minimálních požadavcích na studijní programy všeobecné lékařství, zubní lékařství, farmacie a na vzdělávací program všeobecné praktické lékařství, ve znění pozdějších předpisů </w:t>
      </w:r>
    </w:p>
    <w:p w14:paraId="4AD50FB9" w14:textId="77777777" w:rsidR="007053BE" w:rsidRPr="005D7630" w:rsidRDefault="007053BE" w:rsidP="00140F01">
      <w:pPr>
        <w:numPr>
          <w:ilvl w:val="0"/>
          <w:numId w:val="5"/>
        </w:numPr>
        <w:spacing w:after="39" w:line="240" w:lineRule="auto"/>
        <w:ind w:hanging="360"/>
        <w:jc w:val="both"/>
      </w:pPr>
      <w:r w:rsidRPr="005D7630">
        <w:t xml:space="preserve">Návrh vyhlášky, kterou se mění vyhláška č. 70/2012 Sb., o preventivních prohlídkách, ve znění pozdějších předpisů </w:t>
      </w:r>
    </w:p>
    <w:p w14:paraId="6AC91541" w14:textId="77777777" w:rsidR="007053BE" w:rsidRPr="005D7630" w:rsidRDefault="007053BE" w:rsidP="00140F01">
      <w:pPr>
        <w:numPr>
          <w:ilvl w:val="0"/>
          <w:numId w:val="5"/>
        </w:numPr>
        <w:spacing w:after="120" w:line="240" w:lineRule="auto"/>
        <w:ind w:left="1434" w:hanging="357"/>
        <w:jc w:val="both"/>
      </w:pPr>
      <w:r w:rsidRPr="005D7630">
        <w:t xml:space="preserve">Návrh vyhlášky, kterou se mění vyhláška č. 306/2012 Sb., o podmínkách předcházení vzniku a šíření infekčních onemocnění a o hygienických požadavcích na provoz zdravotnických zařízení a ústavů sociální péče, ve znění pozdějších předpisů </w:t>
      </w:r>
    </w:p>
    <w:p w14:paraId="3F4151C7" w14:textId="77777777" w:rsidR="007053BE" w:rsidRDefault="007053BE" w:rsidP="00140F01">
      <w:pPr>
        <w:pStyle w:val="Nadpis3"/>
        <w:spacing w:before="0" w:line="240" w:lineRule="auto"/>
        <w:jc w:val="both"/>
      </w:pPr>
      <w:bookmarkStart w:id="10" w:name="_Toc142481770"/>
      <w:bookmarkStart w:id="11" w:name="_Toc185504894"/>
      <w:r w:rsidRPr="005D7630">
        <w:t>Dokumentace projektu</w:t>
      </w:r>
      <w:bookmarkEnd w:id="10"/>
      <w:bookmarkEnd w:id="11"/>
    </w:p>
    <w:p w14:paraId="47EB202D" w14:textId="77777777" w:rsidR="007053BE" w:rsidRDefault="007053BE" w:rsidP="00140F01">
      <w:pPr>
        <w:spacing w:after="345" w:line="240" w:lineRule="auto"/>
        <w:ind w:left="-5"/>
        <w:jc w:val="both"/>
      </w:pPr>
      <w:r w:rsidRPr="005D7630">
        <w:t xml:space="preserve">Dokumentace bude v souladu se Zákonem č. 365/2000 Sb., o informačních systémech veřejné správy, včetně prováděcích právních předpisů v platném znění. </w:t>
      </w:r>
    </w:p>
    <w:p w14:paraId="476DDDC2" w14:textId="77777777" w:rsidR="001C1036" w:rsidRDefault="001C1036" w:rsidP="00140F01">
      <w:pPr>
        <w:jc w:val="both"/>
      </w:pPr>
    </w:p>
    <w:sectPr w:rsidR="001C1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3D02"/>
    <w:multiLevelType w:val="multilevel"/>
    <w:tmpl w:val="2B243D02"/>
    <w:lvl w:ilvl="0">
      <w:start w:val="1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555139B9"/>
    <w:multiLevelType w:val="multilevel"/>
    <w:tmpl w:val="555139B9"/>
    <w:lvl w:ilvl="0">
      <w:start w:val="3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569C5F28"/>
    <w:multiLevelType w:val="multilevel"/>
    <w:tmpl w:val="569C5F28"/>
    <w:lvl w:ilvl="0">
      <w:start w:val="1"/>
      <w:numFmt w:val="lowerLetter"/>
      <w:lvlText w:val="%1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F2D6ED0"/>
    <w:multiLevelType w:val="multilevel"/>
    <w:tmpl w:val="6F2D6ED0"/>
    <w:lvl w:ilvl="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03F6C30"/>
    <w:multiLevelType w:val="multilevel"/>
    <w:tmpl w:val="703F6C30"/>
    <w:lvl w:ilvl="0">
      <w:start w:val="13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 w16cid:durableId="339745197">
    <w:abstractNumId w:val="3"/>
  </w:num>
  <w:num w:numId="2" w16cid:durableId="663552970">
    <w:abstractNumId w:val="1"/>
  </w:num>
  <w:num w:numId="3" w16cid:durableId="105275652">
    <w:abstractNumId w:val="0"/>
  </w:num>
  <w:num w:numId="4" w16cid:durableId="887258815">
    <w:abstractNumId w:val="4"/>
  </w:num>
  <w:num w:numId="5" w16cid:durableId="1461803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BE"/>
    <w:rsid w:val="00073A59"/>
    <w:rsid w:val="00140F01"/>
    <w:rsid w:val="001C1036"/>
    <w:rsid w:val="007053BE"/>
    <w:rsid w:val="00DA6E89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6740"/>
  <w15:chartTrackingRefBased/>
  <w15:docId w15:val="{7DA5305A-BDDA-4084-8454-733B73E6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53BE"/>
  </w:style>
  <w:style w:type="paragraph" w:styleId="Nadpis1">
    <w:name w:val="heading 1"/>
    <w:basedOn w:val="Normln"/>
    <w:next w:val="Normln"/>
    <w:link w:val="Nadpis1Char"/>
    <w:uiPriority w:val="9"/>
    <w:qFormat/>
    <w:rsid w:val="00705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5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53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05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53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5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5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5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5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5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5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05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53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53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53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53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53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53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5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5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5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5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5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53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53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53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5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53B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5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Havran</dc:creator>
  <cp:keywords/>
  <dc:description/>
  <cp:lastModifiedBy>Poboril Marcel</cp:lastModifiedBy>
  <cp:revision>2</cp:revision>
  <dcterms:created xsi:type="dcterms:W3CDTF">2025-03-23T13:13:00Z</dcterms:created>
  <dcterms:modified xsi:type="dcterms:W3CDTF">2025-03-23T13:13:00Z</dcterms:modified>
</cp:coreProperties>
</file>